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B39E" w14:textId="77777777" w:rsidR="009672A3" w:rsidRPr="00D60242" w:rsidRDefault="00DE2E92">
      <w:pPr>
        <w:pStyle w:val="Title"/>
        <w:rPr>
          <w:rFonts w:ascii="Arial" w:hAnsi="Arial" w:cs="Arial"/>
          <w:sz w:val="24"/>
          <w:szCs w:val="24"/>
        </w:rPr>
      </w:pPr>
      <w:r w:rsidRPr="00D60242">
        <w:rPr>
          <w:rFonts w:ascii="Arial" w:hAnsi="Arial" w:cs="Arial"/>
          <w:sz w:val="24"/>
          <w:szCs w:val="24"/>
        </w:rPr>
        <w:t>MAKLUMAN SEBUT</w:t>
      </w:r>
      <w:r w:rsidRPr="00D60242">
        <w:rPr>
          <w:rFonts w:ascii="Arial" w:hAnsi="Arial" w:cs="Arial"/>
          <w:spacing w:val="-6"/>
          <w:sz w:val="24"/>
          <w:szCs w:val="24"/>
        </w:rPr>
        <w:t xml:space="preserve"> </w:t>
      </w:r>
      <w:r w:rsidRPr="00D60242">
        <w:rPr>
          <w:rFonts w:ascii="Arial" w:hAnsi="Arial" w:cs="Arial"/>
          <w:sz w:val="24"/>
          <w:szCs w:val="24"/>
        </w:rPr>
        <w:t>HARGA</w:t>
      </w:r>
    </w:p>
    <w:p w14:paraId="4F177FB3" w14:textId="77777777" w:rsidR="009672A3" w:rsidRPr="00D60242" w:rsidRDefault="009672A3">
      <w:pPr>
        <w:pStyle w:val="BodyText"/>
        <w:spacing w:before="7"/>
        <w:rPr>
          <w:b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269"/>
        <w:gridCol w:w="6481"/>
      </w:tblGrid>
      <w:tr w:rsidR="009672A3" w:rsidRPr="00D60242" w14:paraId="44A8DE3D" w14:textId="77777777">
        <w:trPr>
          <w:trHeight w:val="978"/>
        </w:trPr>
        <w:tc>
          <w:tcPr>
            <w:tcW w:w="2179" w:type="dxa"/>
          </w:tcPr>
          <w:p w14:paraId="538AE4EC" w14:textId="77777777" w:rsidR="009672A3" w:rsidRPr="00D60242" w:rsidRDefault="009672A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27D04FC" w14:textId="77777777" w:rsidR="009672A3" w:rsidRPr="00D60242" w:rsidRDefault="00DE2E9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269" w:type="dxa"/>
          </w:tcPr>
          <w:p w14:paraId="6134E374" w14:textId="77777777" w:rsidR="009672A3" w:rsidRPr="00D60242" w:rsidRDefault="009672A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4506C3EA" w14:textId="77777777" w:rsidR="009672A3" w:rsidRPr="00D60242" w:rsidRDefault="00DE2E92">
            <w:pPr>
              <w:pStyle w:val="TableParagraph"/>
              <w:ind w:right="75"/>
              <w:jc w:val="right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1" w:type="dxa"/>
          </w:tcPr>
          <w:p w14:paraId="2F96BBA1" w14:textId="08EF5C7C" w:rsidR="009672A3" w:rsidRPr="00D60242" w:rsidRDefault="00D60242" w:rsidP="0031001F">
            <w:pPr>
              <w:pStyle w:val="TableParagraph"/>
              <w:spacing w:before="110"/>
              <w:ind w:left="108" w:right="219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 xml:space="preserve">Pelanjutan Tempoh Projek dan Pembayaran Fasa Kedua dan Fasa Ketiga bagi projek </w:t>
            </w:r>
            <w:r w:rsidRPr="00D60242">
              <w:rPr>
                <w:b/>
                <w:i/>
                <w:iCs/>
                <w:sz w:val="24"/>
                <w:szCs w:val="24"/>
              </w:rPr>
              <w:t>“Enforcing Contracts:  Solicitors’ Fees - Moving Forward”</w:t>
            </w:r>
          </w:p>
        </w:tc>
      </w:tr>
      <w:tr w:rsidR="009672A3" w:rsidRPr="00D60242" w14:paraId="039F15AB" w14:textId="77777777">
        <w:trPr>
          <w:trHeight w:val="474"/>
        </w:trPr>
        <w:tc>
          <w:tcPr>
            <w:tcW w:w="2179" w:type="dxa"/>
          </w:tcPr>
          <w:p w14:paraId="1D62A055" w14:textId="77777777" w:rsidR="009672A3" w:rsidRPr="00D60242" w:rsidRDefault="00DE2E92">
            <w:pPr>
              <w:pStyle w:val="TableParagraph"/>
              <w:spacing w:before="103"/>
              <w:ind w:left="107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69" w:type="dxa"/>
          </w:tcPr>
          <w:p w14:paraId="6BAD8C02" w14:textId="77777777" w:rsidR="009672A3" w:rsidRPr="00D60242" w:rsidRDefault="00DE2E92">
            <w:pPr>
              <w:pStyle w:val="TableParagraph"/>
              <w:spacing w:before="103"/>
              <w:ind w:right="75"/>
              <w:jc w:val="right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1" w:type="dxa"/>
          </w:tcPr>
          <w:p w14:paraId="7BE10C3A" w14:textId="6869EA4D" w:rsidR="009672A3" w:rsidRPr="00D60242" w:rsidRDefault="00D60242">
            <w:pPr>
              <w:pStyle w:val="TableParagraph"/>
              <w:spacing w:before="110"/>
              <w:ind w:left="108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MAC 2021</w:t>
            </w:r>
          </w:p>
        </w:tc>
      </w:tr>
      <w:tr w:rsidR="009672A3" w:rsidRPr="00D60242" w14:paraId="58EFD860" w14:textId="77777777">
        <w:trPr>
          <w:trHeight w:val="359"/>
        </w:trPr>
        <w:tc>
          <w:tcPr>
            <w:tcW w:w="2179" w:type="dxa"/>
          </w:tcPr>
          <w:p w14:paraId="090EF9B2" w14:textId="77777777" w:rsidR="009672A3" w:rsidRPr="00D60242" w:rsidRDefault="00DE2E92">
            <w:pPr>
              <w:pStyle w:val="TableParagraph"/>
              <w:spacing w:before="55"/>
              <w:ind w:left="107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KOS</w:t>
            </w:r>
          </w:p>
        </w:tc>
        <w:tc>
          <w:tcPr>
            <w:tcW w:w="269" w:type="dxa"/>
          </w:tcPr>
          <w:p w14:paraId="1E8DDA76" w14:textId="77777777" w:rsidR="009672A3" w:rsidRPr="00D60242" w:rsidRDefault="00DE2E92">
            <w:pPr>
              <w:pStyle w:val="TableParagraph"/>
              <w:spacing w:before="55"/>
              <w:ind w:right="75"/>
              <w:jc w:val="right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1" w:type="dxa"/>
          </w:tcPr>
          <w:p w14:paraId="4302AE91" w14:textId="7E533F2F" w:rsidR="009672A3" w:rsidRPr="00D60242" w:rsidRDefault="00D60242">
            <w:pPr>
              <w:pStyle w:val="TableParagraph"/>
              <w:spacing w:before="55"/>
              <w:ind w:left="108"/>
              <w:rPr>
                <w:b/>
                <w:sz w:val="24"/>
                <w:szCs w:val="24"/>
              </w:rPr>
            </w:pPr>
            <w:r w:rsidRPr="00D60242">
              <w:rPr>
                <w:b/>
                <w:sz w:val="24"/>
                <w:szCs w:val="24"/>
              </w:rPr>
              <w:t>RM104,617.80</w:t>
            </w:r>
          </w:p>
        </w:tc>
      </w:tr>
    </w:tbl>
    <w:p w14:paraId="044CC3B4" w14:textId="77777777" w:rsidR="009672A3" w:rsidRPr="00D60242" w:rsidRDefault="009672A3">
      <w:pPr>
        <w:pStyle w:val="BodyText"/>
        <w:spacing w:before="6"/>
        <w:rPr>
          <w:b/>
          <w:sz w:val="24"/>
          <w:szCs w:val="24"/>
        </w:rPr>
      </w:pPr>
    </w:p>
    <w:p w14:paraId="0FFC884A" w14:textId="77777777" w:rsidR="009672A3" w:rsidRPr="00D60242" w:rsidRDefault="00DE2E92">
      <w:pPr>
        <w:pStyle w:val="BodyText"/>
        <w:ind w:left="100"/>
        <w:rPr>
          <w:sz w:val="24"/>
          <w:szCs w:val="24"/>
        </w:rPr>
      </w:pPr>
      <w:r w:rsidRPr="00D60242">
        <w:rPr>
          <w:sz w:val="24"/>
          <w:szCs w:val="24"/>
        </w:rPr>
        <w:t>Adalah saya dengan hormatnya merujuk kepada perkara di</w:t>
      </w:r>
      <w:r w:rsidRPr="00D60242">
        <w:rPr>
          <w:spacing w:val="-9"/>
          <w:sz w:val="24"/>
          <w:szCs w:val="24"/>
        </w:rPr>
        <w:t xml:space="preserve"> </w:t>
      </w:r>
      <w:r w:rsidRPr="00D60242">
        <w:rPr>
          <w:sz w:val="24"/>
          <w:szCs w:val="24"/>
        </w:rPr>
        <w:t>atas,</w:t>
      </w:r>
    </w:p>
    <w:p w14:paraId="660545B0" w14:textId="77777777" w:rsidR="009672A3" w:rsidRPr="00D60242" w:rsidRDefault="009672A3">
      <w:pPr>
        <w:pStyle w:val="BodyText"/>
        <w:spacing w:before="5"/>
        <w:rPr>
          <w:sz w:val="24"/>
          <w:szCs w:val="24"/>
        </w:rPr>
      </w:pPr>
    </w:p>
    <w:p w14:paraId="47B1BAE6" w14:textId="64A53C43" w:rsidR="009672A3" w:rsidRPr="00D60242" w:rsidRDefault="00D60242" w:rsidP="00D60242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60242">
        <w:rPr>
          <w:sz w:val="24"/>
          <w:szCs w:val="24"/>
        </w:rPr>
        <w:t xml:space="preserve">Laporan </w:t>
      </w:r>
      <w:r w:rsidRPr="00D60242">
        <w:rPr>
          <w:i/>
          <w:iCs/>
          <w:sz w:val="24"/>
          <w:szCs w:val="24"/>
        </w:rPr>
        <w:t>Ease of Doing Business</w:t>
      </w:r>
      <w:r w:rsidRPr="00D60242">
        <w:rPr>
          <w:sz w:val="24"/>
          <w:szCs w:val="24"/>
        </w:rPr>
        <w:t xml:space="preserve"> yang diterbitkan setiap tahun oleh </w:t>
      </w:r>
      <w:r w:rsidRPr="00D60242">
        <w:rPr>
          <w:i/>
          <w:iCs/>
          <w:sz w:val="24"/>
          <w:szCs w:val="24"/>
        </w:rPr>
        <w:t>World Bank</w:t>
      </w:r>
      <w:r w:rsidRPr="00D60242">
        <w:rPr>
          <w:sz w:val="24"/>
          <w:szCs w:val="24"/>
        </w:rPr>
        <w:t xml:space="preserve"> menjadi rujukan kepada negara bagi mengenal pasti dan memberi keutamaan dalam bidang peraturan tertentu yang dimaklumkan di dalam laporan tersebut. </w:t>
      </w:r>
      <w:r w:rsidRPr="00D60242">
        <w:rPr>
          <w:i/>
          <w:iCs/>
          <w:sz w:val="24"/>
          <w:szCs w:val="24"/>
        </w:rPr>
        <w:t xml:space="preserve">‘Enforcing Contract’ </w:t>
      </w:r>
      <w:r w:rsidRPr="00D60242">
        <w:rPr>
          <w:sz w:val="24"/>
          <w:szCs w:val="24"/>
        </w:rPr>
        <w:t xml:space="preserve">adalah antara bidang peraturan yang diberikan perhatian. Oleh itu, kajian kes telah dijalankan yang </w:t>
      </w:r>
      <w:r w:rsidRPr="00D60242">
        <w:rPr>
          <w:bCs/>
          <w:sz w:val="24"/>
          <w:szCs w:val="24"/>
        </w:rPr>
        <w:t>memfokuskan kepada kos Peguam Cara untuk menguatkuasakan kontrak.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9D2E5A">
        <w:rPr>
          <w:sz w:val="24"/>
          <w:szCs w:val="24"/>
        </w:rPr>
        <w:t>ujuan kajian ini dijalankan adalah untuk menghasilkan satu rujukan atau panduan kepada pengamal undang-undang di Malaysia dan orang ramai berkenaan yuran undang-undang professional.</w:t>
      </w:r>
    </w:p>
    <w:p w14:paraId="189DA9C8" w14:textId="77777777" w:rsidR="00D60242" w:rsidRPr="00D60242" w:rsidRDefault="00D60242" w:rsidP="00D60242">
      <w:pPr>
        <w:pStyle w:val="BodyText"/>
        <w:spacing w:before="5"/>
        <w:ind w:left="808"/>
        <w:jc w:val="both"/>
        <w:rPr>
          <w:sz w:val="24"/>
          <w:szCs w:val="24"/>
        </w:rPr>
      </w:pPr>
    </w:p>
    <w:p w14:paraId="1D04FBEE" w14:textId="025B483D" w:rsidR="009672A3" w:rsidRPr="00D60242" w:rsidRDefault="00D60242" w:rsidP="006D4C7A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Disebabkan pandemik COVID 19 menyebabkan projek ini tidak dapat disiapkan pada tahun 2020. Ini kerana penutupan beberapa se</w:t>
      </w:r>
      <w:r w:rsidR="00DC1237">
        <w:rPr>
          <w:sz w:val="24"/>
          <w:szCs w:val="24"/>
        </w:rPr>
        <w:t>k</w:t>
      </w:r>
      <w:r>
        <w:rPr>
          <w:sz w:val="24"/>
          <w:szCs w:val="24"/>
        </w:rPr>
        <w:t>tor utama</w:t>
      </w:r>
      <w:r w:rsidR="00DC1237">
        <w:rPr>
          <w:sz w:val="24"/>
          <w:szCs w:val="24"/>
        </w:rPr>
        <w:t xml:space="preserve"> daripada beroperasi termasuklah perkhidmatan professional guaman.</w:t>
      </w:r>
      <w:r w:rsidR="009A4522">
        <w:rPr>
          <w:sz w:val="24"/>
          <w:szCs w:val="24"/>
        </w:rPr>
        <w:t xml:space="preserve"> Oleh itu, bilangan responden yang diperlukan tidak mencapai jumlah yang dikehendaki.</w:t>
      </w:r>
      <w:r w:rsidR="00DC1237">
        <w:rPr>
          <w:sz w:val="24"/>
          <w:szCs w:val="24"/>
        </w:rPr>
        <w:t xml:space="preserve"> </w:t>
      </w:r>
      <w:r w:rsidR="009A4522">
        <w:rPr>
          <w:sz w:val="24"/>
          <w:szCs w:val="24"/>
        </w:rPr>
        <w:t>Kelulusan untuk melanjutkan tempoh projek kajian kes telah diperolehi melalui Mesyuarat Lembaga Pengurusan MPC Bil 16/2020 bertarikh 21 Disember 2020. Tempoh pelanjutan diberikan sehingga suku pertama 2021.</w:t>
      </w:r>
    </w:p>
    <w:p w14:paraId="6341AB48" w14:textId="77777777" w:rsidR="009672A3" w:rsidRPr="00D60242" w:rsidRDefault="009672A3">
      <w:pPr>
        <w:pStyle w:val="BodyText"/>
        <w:spacing w:before="4"/>
        <w:rPr>
          <w:sz w:val="24"/>
          <w:szCs w:val="24"/>
        </w:rPr>
      </w:pPr>
    </w:p>
    <w:p w14:paraId="36C2FF55" w14:textId="002F14BC" w:rsidR="00C17DC8" w:rsidRPr="00D60242" w:rsidRDefault="00B42123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3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en-MY"/>
        </w:rPr>
        <w:t xml:space="preserve">Kertas Makluman Kepada Lembaga Pengurusan MPC telah dikemukakan dan telah diluluskan seperti yang tertera pada Keratan Minit </w:t>
      </w:r>
      <w:r w:rsidR="00933BDA">
        <w:rPr>
          <w:rFonts w:eastAsia="Times New Roman"/>
          <w:color w:val="000000"/>
          <w:sz w:val="24"/>
          <w:szCs w:val="24"/>
          <w:lang w:eastAsia="en-MY"/>
        </w:rPr>
        <w:t>bilangan 280</w:t>
      </w:r>
      <w:r>
        <w:rPr>
          <w:rFonts w:eastAsia="Times New Roman"/>
          <w:color w:val="000000"/>
          <w:sz w:val="24"/>
          <w:szCs w:val="24"/>
          <w:lang w:eastAsia="en-MY"/>
        </w:rPr>
        <w:t xml:space="preserve">/2021 bertarikh </w:t>
      </w:r>
      <w:r w:rsidR="00933BDA">
        <w:rPr>
          <w:rFonts w:eastAsia="Times New Roman"/>
          <w:color w:val="000000"/>
          <w:sz w:val="24"/>
          <w:szCs w:val="24"/>
          <w:lang w:eastAsia="en-MY"/>
        </w:rPr>
        <w:t>8</w:t>
      </w:r>
      <w:r>
        <w:rPr>
          <w:rFonts w:eastAsia="Times New Roman"/>
          <w:color w:val="000000"/>
          <w:sz w:val="24"/>
          <w:szCs w:val="24"/>
          <w:lang w:eastAsia="en-MY"/>
        </w:rPr>
        <w:t xml:space="preserve"> </w:t>
      </w:r>
      <w:r w:rsidR="00933BDA">
        <w:rPr>
          <w:rFonts w:eastAsia="Times New Roman"/>
          <w:color w:val="000000"/>
          <w:sz w:val="24"/>
          <w:szCs w:val="24"/>
          <w:lang w:eastAsia="en-MY"/>
        </w:rPr>
        <w:t xml:space="preserve">Mac </w:t>
      </w:r>
      <w:r>
        <w:rPr>
          <w:rFonts w:eastAsia="Times New Roman"/>
          <w:color w:val="000000"/>
          <w:sz w:val="24"/>
          <w:szCs w:val="24"/>
          <w:lang w:eastAsia="en-MY"/>
        </w:rPr>
        <w:t xml:space="preserve">2021. Pembayaran kepada perunding akan menggunakan bajet </w:t>
      </w:r>
      <w:r w:rsidR="00776172">
        <w:rPr>
          <w:rFonts w:eastAsia="Times New Roman"/>
          <w:color w:val="000000"/>
          <w:sz w:val="24"/>
          <w:szCs w:val="24"/>
          <w:lang w:eastAsia="en-MY"/>
        </w:rPr>
        <w:t>MPB-PSPN</w:t>
      </w:r>
      <w:r>
        <w:rPr>
          <w:rFonts w:eastAsia="Times New Roman"/>
          <w:color w:val="000000"/>
          <w:sz w:val="24"/>
          <w:szCs w:val="24"/>
          <w:lang w:eastAsia="en-MY"/>
        </w:rPr>
        <w:t>.</w:t>
      </w:r>
    </w:p>
    <w:p w14:paraId="75CEEB07" w14:textId="77777777" w:rsidR="009672A3" w:rsidRPr="00D60242" w:rsidRDefault="009672A3">
      <w:pPr>
        <w:pStyle w:val="BodyText"/>
        <w:spacing w:before="3"/>
        <w:rPr>
          <w:sz w:val="24"/>
          <w:szCs w:val="24"/>
        </w:rPr>
      </w:pPr>
    </w:p>
    <w:p w14:paraId="1E1B5E69" w14:textId="73CA7460" w:rsidR="009672A3" w:rsidRPr="00D60242" w:rsidRDefault="00DE2E92">
      <w:pPr>
        <w:pStyle w:val="ListParagraph"/>
        <w:numPr>
          <w:ilvl w:val="0"/>
          <w:numId w:val="2"/>
        </w:numPr>
        <w:tabs>
          <w:tab w:val="left" w:pos="809"/>
        </w:tabs>
        <w:spacing w:before="1" w:after="37"/>
        <w:ind w:right="0" w:hanging="361"/>
        <w:rPr>
          <w:sz w:val="24"/>
          <w:szCs w:val="24"/>
        </w:rPr>
      </w:pPr>
      <w:r w:rsidRPr="00D60242">
        <w:rPr>
          <w:sz w:val="24"/>
          <w:szCs w:val="24"/>
        </w:rPr>
        <w:t>Jumlah kos keseluruhan program adalah seperti</w:t>
      </w:r>
      <w:r w:rsidRPr="00D60242">
        <w:rPr>
          <w:spacing w:val="-6"/>
          <w:sz w:val="24"/>
          <w:szCs w:val="24"/>
        </w:rPr>
        <w:t xml:space="preserve"> </w:t>
      </w:r>
      <w:r w:rsidRPr="00D60242">
        <w:rPr>
          <w:sz w:val="24"/>
          <w:szCs w:val="24"/>
        </w:rPr>
        <w:t>berikut:</w:t>
      </w:r>
    </w:p>
    <w:p w14:paraId="708D702F" w14:textId="77777777" w:rsidR="000A555B" w:rsidRPr="00D60242" w:rsidRDefault="000A555B" w:rsidP="000A555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808" w:type="dxa"/>
        <w:tblLook w:val="04A0" w:firstRow="1" w:lastRow="0" w:firstColumn="1" w:lastColumn="0" w:noHBand="0" w:noVBand="1"/>
      </w:tblPr>
      <w:tblGrid>
        <w:gridCol w:w="483"/>
        <w:gridCol w:w="5794"/>
        <w:gridCol w:w="1982"/>
      </w:tblGrid>
      <w:tr w:rsidR="000A555B" w:rsidRPr="00D60242" w14:paraId="4959E5A7" w14:textId="77777777" w:rsidTr="00B42123">
        <w:tc>
          <w:tcPr>
            <w:tcW w:w="483" w:type="dxa"/>
          </w:tcPr>
          <w:p w14:paraId="4916B9F7" w14:textId="1FFF6B8C" w:rsidR="000A555B" w:rsidRPr="00D60242" w:rsidRDefault="000A555B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 w:rsidRPr="00D60242">
              <w:rPr>
                <w:sz w:val="24"/>
                <w:szCs w:val="24"/>
              </w:rPr>
              <w:t>Bil</w:t>
            </w:r>
          </w:p>
        </w:tc>
        <w:tc>
          <w:tcPr>
            <w:tcW w:w="5794" w:type="dxa"/>
          </w:tcPr>
          <w:p w14:paraId="07E91D70" w14:textId="5D1E00FA" w:rsidR="000A555B" w:rsidRPr="00D60242" w:rsidRDefault="000A555B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 w:rsidRPr="00D60242">
              <w:rPr>
                <w:sz w:val="24"/>
                <w:szCs w:val="24"/>
              </w:rPr>
              <w:t>Perkara</w:t>
            </w:r>
          </w:p>
        </w:tc>
        <w:tc>
          <w:tcPr>
            <w:tcW w:w="1982" w:type="dxa"/>
          </w:tcPr>
          <w:p w14:paraId="151B09F6" w14:textId="57303C77" w:rsidR="000A555B" w:rsidRPr="00D60242" w:rsidRDefault="000A555B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sz w:val="24"/>
                <w:szCs w:val="24"/>
              </w:rPr>
            </w:pPr>
            <w:r w:rsidRPr="00D60242">
              <w:rPr>
                <w:sz w:val="24"/>
                <w:szCs w:val="24"/>
              </w:rPr>
              <w:t>Jumlah (RM)</w:t>
            </w:r>
          </w:p>
        </w:tc>
      </w:tr>
      <w:tr w:rsidR="00A8721D" w:rsidRPr="00D60242" w14:paraId="6BAE4F0E" w14:textId="77777777" w:rsidTr="00B42123">
        <w:tc>
          <w:tcPr>
            <w:tcW w:w="483" w:type="dxa"/>
          </w:tcPr>
          <w:p w14:paraId="4C98F4AD" w14:textId="3EF1EB83" w:rsidR="00A8721D" w:rsidRPr="00D60242" w:rsidRDefault="006F40F9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 w:rsidRPr="00D60242">
              <w:rPr>
                <w:sz w:val="24"/>
                <w:szCs w:val="24"/>
              </w:rPr>
              <w:t>1</w:t>
            </w:r>
          </w:p>
        </w:tc>
        <w:tc>
          <w:tcPr>
            <w:tcW w:w="5794" w:type="dxa"/>
          </w:tcPr>
          <w:p w14:paraId="22EF6119" w14:textId="4B880A30" w:rsidR="00C17DC8" w:rsidRPr="00B42123" w:rsidRDefault="00B42123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 w:rsidRPr="00B42123">
              <w:rPr>
                <w:sz w:val="24"/>
                <w:szCs w:val="24"/>
              </w:rPr>
              <w:t>Fasa 2: Kajian Enforcing Contracts: Solicitors’ Fees – Moving Forward – 30% daripada jumlah keseluruhan sebanyak RM149,454.00.</w:t>
            </w:r>
          </w:p>
        </w:tc>
        <w:tc>
          <w:tcPr>
            <w:tcW w:w="1982" w:type="dxa"/>
          </w:tcPr>
          <w:p w14:paraId="4EA3F845" w14:textId="77777777" w:rsidR="00C17DC8" w:rsidRPr="00B42123" w:rsidRDefault="00C17DC8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sz w:val="24"/>
                <w:szCs w:val="24"/>
              </w:rPr>
            </w:pPr>
          </w:p>
          <w:p w14:paraId="546CC42A" w14:textId="7F0F6A9E" w:rsidR="00A8721D" w:rsidRPr="00B42123" w:rsidRDefault="00B42123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sz w:val="24"/>
                <w:szCs w:val="24"/>
              </w:rPr>
            </w:pPr>
            <w:r w:rsidRPr="00B42123">
              <w:rPr>
                <w:bCs/>
                <w:sz w:val="24"/>
                <w:szCs w:val="24"/>
              </w:rPr>
              <w:t>44,836.20</w:t>
            </w:r>
          </w:p>
        </w:tc>
      </w:tr>
      <w:tr w:rsidR="00B42123" w:rsidRPr="00D60242" w14:paraId="4EE80318" w14:textId="77777777" w:rsidTr="00B42123">
        <w:tc>
          <w:tcPr>
            <w:tcW w:w="483" w:type="dxa"/>
          </w:tcPr>
          <w:p w14:paraId="5220C566" w14:textId="5C18883E" w:rsidR="00B42123" w:rsidRPr="00D60242" w:rsidRDefault="00B42123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4" w:type="dxa"/>
          </w:tcPr>
          <w:p w14:paraId="4E41AE20" w14:textId="52609D2B" w:rsidR="00B42123" w:rsidRPr="00B42123" w:rsidRDefault="00B42123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  <w:r w:rsidRPr="00B42123">
              <w:rPr>
                <w:sz w:val="24"/>
                <w:szCs w:val="24"/>
              </w:rPr>
              <w:t>Fasa 3: Kajian Enforcing Contracts: Solicitors’ Fees – Moving Forward – 40% daripada jumlah keseluruhan sebanyak RM149,454.00.</w:t>
            </w:r>
          </w:p>
        </w:tc>
        <w:tc>
          <w:tcPr>
            <w:tcW w:w="1982" w:type="dxa"/>
          </w:tcPr>
          <w:p w14:paraId="48C1D3D2" w14:textId="571D0A94" w:rsidR="00B42123" w:rsidRPr="00B42123" w:rsidRDefault="00B42123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sz w:val="24"/>
                <w:szCs w:val="24"/>
              </w:rPr>
            </w:pPr>
            <w:r w:rsidRPr="00B42123">
              <w:rPr>
                <w:sz w:val="24"/>
                <w:szCs w:val="24"/>
              </w:rPr>
              <w:t>59,781.60</w:t>
            </w:r>
          </w:p>
        </w:tc>
      </w:tr>
      <w:tr w:rsidR="00A8721D" w:rsidRPr="00D60242" w14:paraId="06B3329B" w14:textId="77777777" w:rsidTr="00B42123">
        <w:tc>
          <w:tcPr>
            <w:tcW w:w="483" w:type="dxa"/>
          </w:tcPr>
          <w:p w14:paraId="7DD8D1CF" w14:textId="77777777" w:rsidR="00A8721D" w:rsidRPr="00D60242" w:rsidRDefault="00A8721D" w:rsidP="000A555B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94" w:type="dxa"/>
          </w:tcPr>
          <w:p w14:paraId="01F5FBEC" w14:textId="37A382E3" w:rsidR="00A8721D" w:rsidRPr="00D60242" w:rsidRDefault="00A8721D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sz w:val="24"/>
                <w:szCs w:val="24"/>
              </w:rPr>
            </w:pPr>
            <w:r w:rsidRPr="00D60242">
              <w:rPr>
                <w:sz w:val="24"/>
                <w:szCs w:val="24"/>
              </w:rPr>
              <w:t>Jumlah Keseluruhan kos</w:t>
            </w:r>
          </w:p>
        </w:tc>
        <w:tc>
          <w:tcPr>
            <w:tcW w:w="1982" w:type="dxa"/>
          </w:tcPr>
          <w:p w14:paraId="54CE3AD0" w14:textId="37686CA4" w:rsidR="00A8721D" w:rsidRPr="00B42123" w:rsidRDefault="00B42123" w:rsidP="00A8721D">
            <w:pPr>
              <w:pStyle w:val="ListParagraph"/>
              <w:tabs>
                <w:tab w:val="left" w:pos="809"/>
              </w:tabs>
              <w:spacing w:before="1" w:after="37"/>
              <w:ind w:left="0" w:right="0" w:firstLine="0"/>
              <w:jc w:val="right"/>
              <w:rPr>
                <w:bCs/>
                <w:sz w:val="24"/>
                <w:szCs w:val="24"/>
              </w:rPr>
            </w:pPr>
            <w:r w:rsidRPr="00B42123">
              <w:rPr>
                <w:bCs/>
                <w:sz w:val="24"/>
                <w:szCs w:val="24"/>
              </w:rPr>
              <w:t>RM104,617.80</w:t>
            </w:r>
          </w:p>
        </w:tc>
      </w:tr>
    </w:tbl>
    <w:p w14:paraId="22380263" w14:textId="55082F6F" w:rsidR="009672A3" w:rsidRDefault="009672A3">
      <w:pPr>
        <w:pStyle w:val="BodyText"/>
        <w:spacing w:before="3"/>
        <w:rPr>
          <w:sz w:val="24"/>
          <w:szCs w:val="24"/>
        </w:rPr>
      </w:pPr>
    </w:p>
    <w:p w14:paraId="3610965B" w14:textId="35650384" w:rsidR="00B42123" w:rsidRDefault="00B42123">
      <w:pPr>
        <w:pStyle w:val="BodyText"/>
        <w:spacing w:before="3"/>
        <w:rPr>
          <w:sz w:val="24"/>
          <w:szCs w:val="24"/>
        </w:rPr>
      </w:pPr>
    </w:p>
    <w:p w14:paraId="7F44AC5A" w14:textId="0894EAE4" w:rsidR="00B42123" w:rsidRDefault="00B42123">
      <w:pPr>
        <w:pStyle w:val="BodyText"/>
        <w:spacing w:before="3"/>
        <w:rPr>
          <w:sz w:val="24"/>
          <w:szCs w:val="24"/>
        </w:rPr>
      </w:pPr>
    </w:p>
    <w:p w14:paraId="5403D969" w14:textId="32B86DE8" w:rsidR="00B42123" w:rsidRDefault="00B42123">
      <w:pPr>
        <w:pStyle w:val="BodyText"/>
        <w:spacing w:before="3"/>
        <w:rPr>
          <w:sz w:val="24"/>
          <w:szCs w:val="24"/>
        </w:rPr>
      </w:pPr>
    </w:p>
    <w:p w14:paraId="685D322C" w14:textId="5A5ABA78" w:rsidR="00B42123" w:rsidRDefault="00B42123">
      <w:pPr>
        <w:pStyle w:val="BodyText"/>
        <w:spacing w:before="3"/>
        <w:rPr>
          <w:sz w:val="24"/>
          <w:szCs w:val="24"/>
        </w:rPr>
      </w:pPr>
    </w:p>
    <w:p w14:paraId="65B06A6E" w14:textId="3BEFD9D3" w:rsidR="00B42123" w:rsidRDefault="00B42123">
      <w:pPr>
        <w:pStyle w:val="BodyText"/>
        <w:spacing w:before="3"/>
        <w:rPr>
          <w:sz w:val="24"/>
          <w:szCs w:val="24"/>
        </w:rPr>
      </w:pPr>
    </w:p>
    <w:p w14:paraId="7B8441A6" w14:textId="1BD780E2" w:rsidR="00B42123" w:rsidRDefault="00B42123">
      <w:pPr>
        <w:pStyle w:val="BodyText"/>
        <w:spacing w:before="3"/>
        <w:rPr>
          <w:sz w:val="24"/>
          <w:szCs w:val="24"/>
        </w:rPr>
      </w:pPr>
    </w:p>
    <w:p w14:paraId="35781014" w14:textId="5A0DAF06" w:rsidR="00B42123" w:rsidRDefault="00B42123">
      <w:pPr>
        <w:pStyle w:val="BodyText"/>
        <w:spacing w:before="3"/>
        <w:rPr>
          <w:sz w:val="24"/>
          <w:szCs w:val="24"/>
        </w:rPr>
      </w:pPr>
    </w:p>
    <w:p w14:paraId="5A005843" w14:textId="6B0287D3" w:rsidR="00B42123" w:rsidRDefault="00B42123">
      <w:pPr>
        <w:pStyle w:val="BodyText"/>
        <w:spacing w:before="3"/>
        <w:rPr>
          <w:sz w:val="24"/>
          <w:szCs w:val="24"/>
        </w:rPr>
      </w:pPr>
    </w:p>
    <w:p w14:paraId="5B219253" w14:textId="77777777" w:rsidR="00B42123" w:rsidRDefault="00B42123">
      <w:pPr>
        <w:pStyle w:val="BodyText"/>
        <w:spacing w:before="3"/>
        <w:rPr>
          <w:sz w:val="24"/>
          <w:szCs w:val="24"/>
        </w:rPr>
      </w:pPr>
    </w:p>
    <w:p w14:paraId="6E5C6125" w14:textId="77777777" w:rsidR="00B42123" w:rsidRPr="00D60242" w:rsidRDefault="00B42123">
      <w:pPr>
        <w:pStyle w:val="BodyText"/>
        <w:spacing w:before="3"/>
        <w:rPr>
          <w:sz w:val="24"/>
          <w:szCs w:val="24"/>
        </w:rPr>
      </w:pPr>
    </w:p>
    <w:p w14:paraId="257CF94A" w14:textId="0AC24A68" w:rsidR="008A5A97" w:rsidRPr="00B6133A" w:rsidRDefault="00B6133A" w:rsidP="00743D2B">
      <w:pPr>
        <w:pStyle w:val="BodyText"/>
        <w:numPr>
          <w:ilvl w:val="0"/>
          <w:numId w:val="2"/>
        </w:numPr>
        <w:spacing w:before="3" w:line="276" w:lineRule="auto"/>
        <w:jc w:val="both"/>
        <w:rPr>
          <w:sz w:val="24"/>
          <w:szCs w:val="24"/>
        </w:rPr>
      </w:pPr>
      <w:r w:rsidRPr="00B6133A">
        <w:rPr>
          <w:sz w:val="24"/>
          <w:szCs w:val="24"/>
        </w:rPr>
        <w:t>Projek kajian ini telah diberikan kelulusan pelanjutan sehingga 31 Mac 2021 disebabkan oleh bilangan responden yang tidak mencukupi akibat pandemik COVID 19</w:t>
      </w:r>
      <w:r w:rsidR="00743D2B" w:rsidRPr="00B6133A">
        <w:rPr>
          <w:sz w:val="24"/>
          <w:szCs w:val="24"/>
        </w:rPr>
        <w:t>.</w:t>
      </w:r>
      <w:r w:rsidRPr="00B6133A">
        <w:rPr>
          <w:sz w:val="24"/>
          <w:szCs w:val="24"/>
        </w:rPr>
        <w:t xml:space="preserve"> Kelulusan Jawatankuasa Sebutharga A </w:t>
      </w:r>
      <w:r>
        <w:rPr>
          <w:sz w:val="24"/>
          <w:szCs w:val="24"/>
        </w:rPr>
        <w:t xml:space="preserve">adalah </w:t>
      </w:r>
      <w:r w:rsidRPr="00B6133A">
        <w:rPr>
          <w:sz w:val="24"/>
          <w:szCs w:val="24"/>
        </w:rPr>
        <w:t>dipohon agar kajian dapat disiapkan.</w:t>
      </w:r>
    </w:p>
    <w:p w14:paraId="5987ABA5" w14:textId="77777777" w:rsidR="00743D2B" w:rsidRPr="00D60242" w:rsidRDefault="00743D2B" w:rsidP="00743D2B">
      <w:pPr>
        <w:pStyle w:val="BodyText"/>
        <w:spacing w:before="3" w:line="276" w:lineRule="auto"/>
        <w:ind w:left="808"/>
        <w:rPr>
          <w:sz w:val="24"/>
          <w:szCs w:val="24"/>
        </w:rPr>
      </w:pPr>
    </w:p>
    <w:p w14:paraId="713F3BEE" w14:textId="77777777" w:rsidR="008A5A97" w:rsidRPr="00D60242" w:rsidRDefault="008A5A97" w:rsidP="008A5A97">
      <w:pPr>
        <w:pStyle w:val="BodyText"/>
        <w:spacing w:before="3"/>
        <w:ind w:left="808"/>
        <w:rPr>
          <w:sz w:val="24"/>
          <w:szCs w:val="24"/>
        </w:rPr>
      </w:pPr>
    </w:p>
    <w:p w14:paraId="59C065E8" w14:textId="77777777" w:rsidR="009672A3" w:rsidRPr="00D60242" w:rsidRDefault="00DE2E92">
      <w:pPr>
        <w:ind w:left="100"/>
        <w:rPr>
          <w:sz w:val="24"/>
          <w:szCs w:val="24"/>
        </w:rPr>
      </w:pPr>
      <w:r w:rsidRPr="00D60242">
        <w:rPr>
          <w:sz w:val="24"/>
          <w:szCs w:val="24"/>
        </w:rPr>
        <w:t>Sekian, terima kasih.</w:t>
      </w:r>
    </w:p>
    <w:p w14:paraId="45125C3C" w14:textId="77777777" w:rsidR="009672A3" w:rsidRPr="00D60242" w:rsidRDefault="009672A3">
      <w:pPr>
        <w:pStyle w:val="BodyText"/>
        <w:rPr>
          <w:sz w:val="24"/>
          <w:szCs w:val="24"/>
        </w:rPr>
      </w:pPr>
    </w:p>
    <w:p w14:paraId="6C69334D" w14:textId="7FCB224F" w:rsidR="009672A3" w:rsidRPr="00D60242" w:rsidRDefault="00DE2E92">
      <w:pPr>
        <w:pStyle w:val="BodyText"/>
        <w:tabs>
          <w:tab w:val="left" w:pos="5311"/>
        </w:tabs>
        <w:spacing w:before="1"/>
        <w:ind w:left="208"/>
        <w:rPr>
          <w:sz w:val="24"/>
          <w:szCs w:val="24"/>
        </w:rPr>
      </w:pPr>
      <w:r w:rsidRPr="00D60242">
        <w:rPr>
          <w:sz w:val="24"/>
          <w:szCs w:val="24"/>
        </w:rPr>
        <w:t>Yang benar:</w:t>
      </w:r>
      <w:r w:rsidRPr="00D60242">
        <w:rPr>
          <w:sz w:val="24"/>
          <w:szCs w:val="24"/>
        </w:rPr>
        <w:tab/>
        <w:t>Disemak</w:t>
      </w:r>
      <w:r w:rsidRPr="00D60242">
        <w:rPr>
          <w:spacing w:val="1"/>
          <w:sz w:val="24"/>
          <w:szCs w:val="24"/>
        </w:rPr>
        <w:t xml:space="preserve"> </w:t>
      </w:r>
      <w:r w:rsidRPr="00D60242">
        <w:rPr>
          <w:sz w:val="24"/>
          <w:szCs w:val="24"/>
        </w:rPr>
        <w:t>oleh:</w:t>
      </w:r>
    </w:p>
    <w:p w14:paraId="1AE1F215" w14:textId="77A9D9B7" w:rsidR="009672A3" w:rsidRPr="00D60242" w:rsidRDefault="00B6133A">
      <w:pPr>
        <w:pStyle w:val="BodyText"/>
        <w:rPr>
          <w:sz w:val="24"/>
          <w:szCs w:val="24"/>
        </w:rPr>
      </w:pPr>
      <w:r>
        <w:rPr>
          <w:rFonts w:eastAsia="Times New Roman"/>
          <w:bCs/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3A72A" wp14:editId="14F9CEE0">
                <wp:simplePos x="0" y="0"/>
                <wp:positionH relativeFrom="column">
                  <wp:posOffset>3638550</wp:posOffset>
                </wp:positionH>
                <wp:positionV relativeFrom="paragraph">
                  <wp:posOffset>152400</wp:posOffset>
                </wp:positionV>
                <wp:extent cx="1107902" cy="47007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902" cy="470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C60B4" w14:textId="77777777" w:rsidR="00B6133A" w:rsidRDefault="00B6133A" w:rsidP="00B6133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4809CC0A" wp14:editId="3AE57CD1">
                                  <wp:extent cx="600075" cy="36576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3A72A" id="Rectangle 3" o:spid="_x0000_s1026" style="position:absolute;margin-left:286.5pt;margin-top:12pt;width:87.2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" filled="f" stroked="f" strokeweight="2pt">
                <v:textbox>
                  <w:txbxContent>
                    <w:p w14:paraId="3C0C60B4" w14:textId="77777777" w:rsidR="00B6133A" w:rsidRDefault="00B6133A" w:rsidP="00B6133A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4809CC0A" wp14:editId="3AE57CD1">
                            <wp:extent cx="600075" cy="36576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075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44AF7" w:rsidRPr="00D602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52344" wp14:editId="221286A4">
                <wp:simplePos x="0" y="0"/>
                <wp:positionH relativeFrom="column">
                  <wp:posOffset>73025</wp:posOffset>
                </wp:positionH>
                <wp:positionV relativeFrom="paragraph">
                  <wp:posOffset>98425</wp:posOffset>
                </wp:positionV>
                <wp:extent cx="1000125" cy="5238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46AEF" w14:textId="005A4062" w:rsidR="00C44AF7" w:rsidRDefault="00C44AF7" w:rsidP="00C44AF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4ADDF" wp14:editId="2E6EF551">
                                  <wp:extent cx="459105" cy="407035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105" cy="407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52344" id="Rectangle 2" o:spid="_x0000_s1027" style="position:absolute;margin-left:5.75pt;margin-top:7.75pt;width:78.7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" filled="f" stroked="f" strokeweight="2pt">
                <v:textbox>
                  <w:txbxContent>
                    <w:p w14:paraId="67446AEF" w14:textId="005A4062" w:rsidR="00C44AF7" w:rsidRDefault="00C44AF7" w:rsidP="00C44AF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64ADDF" wp14:editId="2E6EF551">
                            <wp:extent cx="459105" cy="407035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105" cy="407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910D2B0" w14:textId="27836AED" w:rsidR="009672A3" w:rsidRPr="00D60242" w:rsidRDefault="00282502" w:rsidP="00282502">
      <w:pPr>
        <w:pStyle w:val="BodyText"/>
        <w:tabs>
          <w:tab w:val="center" w:pos="3839"/>
        </w:tabs>
        <w:rPr>
          <w:sz w:val="24"/>
          <w:szCs w:val="24"/>
        </w:rPr>
      </w:pPr>
      <w:r w:rsidRPr="00D60242">
        <w:rPr>
          <w:sz w:val="24"/>
          <w:szCs w:val="24"/>
        </w:rPr>
        <w:tab/>
      </w:r>
    </w:p>
    <w:p w14:paraId="7A7DA2FD" w14:textId="77777777" w:rsidR="00282502" w:rsidRPr="00D60242" w:rsidRDefault="00282502">
      <w:pPr>
        <w:tabs>
          <w:tab w:val="left" w:pos="5311"/>
        </w:tabs>
        <w:spacing w:before="198"/>
        <w:ind w:left="208"/>
        <w:rPr>
          <w:b/>
          <w:sz w:val="24"/>
          <w:szCs w:val="24"/>
        </w:rPr>
      </w:pPr>
    </w:p>
    <w:p w14:paraId="456F9995" w14:textId="71385B30" w:rsidR="009672A3" w:rsidRPr="00D60242" w:rsidRDefault="00A8721D">
      <w:pPr>
        <w:tabs>
          <w:tab w:val="left" w:pos="5311"/>
        </w:tabs>
        <w:spacing w:before="198"/>
        <w:ind w:left="208"/>
        <w:rPr>
          <w:b/>
          <w:sz w:val="24"/>
          <w:szCs w:val="24"/>
        </w:rPr>
      </w:pPr>
      <w:r w:rsidRPr="00D60242">
        <w:rPr>
          <w:b/>
          <w:sz w:val="24"/>
          <w:szCs w:val="24"/>
        </w:rPr>
        <w:t>Edward Binty</w:t>
      </w:r>
      <w:r w:rsidR="008A5A97" w:rsidRPr="00D60242">
        <w:rPr>
          <w:b/>
          <w:sz w:val="24"/>
          <w:szCs w:val="24"/>
        </w:rPr>
        <w:tab/>
      </w:r>
      <w:r w:rsidR="00B42123">
        <w:rPr>
          <w:b/>
          <w:sz w:val="24"/>
          <w:szCs w:val="24"/>
        </w:rPr>
        <w:t>Mohamad Muzaffar Abdul Hamid</w:t>
      </w:r>
    </w:p>
    <w:p w14:paraId="6563B554" w14:textId="77777777" w:rsidR="009672A3" w:rsidRPr="00D60242" w:rsidRDefault="009672A3">
      <w:pPr>
        <w:rPr>
          <w:sz w:val="24"/>
          <w:szCs w:val="24"/>
        </w:rPr>
        <w:sectPr w:rsidR="009672A3" w:rsidRPr="00D60242" w:rsidSect="008A5A97">
          <w:type w:val="continuous"/>
          <w:pgSz w:w="11910" w:h="16840"/>
          <w:pgMar w:top="585" w:right="1320" w:bottom="280" w:left="1340" w:header="576" w:footer="720" w:gutter="0"/>
          <w:cols w:space="720"/>
          <w:docGrid w:linePitch="299"/>
        </w:sectPr>
      </w:pPr>
    </w:p>
    <w:p w14:paraId="512B28DA" w14:textId="2DDBF3F5" w:rsidR="00176380" w:rsidRPr="00D60242" w:rsidRDefault="00DE2E92" w:rsidP="00B42123">
      <w:pPr>
        <w:pStyle w:val="BodyText"/>
        <w:spacing w:before="16"/>
        <w:ind w:left="208"/>
        <w:rPr>
          <w:sz w:val="24"/>
          <w:szCs w:val="24"/>
        </w:rPr>
      </w:pPr>
      <w:r w:rsidRPr="00D60242">
        <w:rPr>
          <w:sz w:val="24"/>
          <w:szCs w:val="24"/>
        </w:rPr>
        <w:t>Pengurus</w:t>
      </w:r>
      <w:r w:rsidR="00A8721D" w:rsidRPr="00D60242">
        <w:rPr>
          <w:sz w:val="24"/>
          <w:szCs w:val="24"/>
        </w:rPr>
        <w:t xml:space="preserve"> Kanan</w:t>
      </w:r>
    </w:p>
    <w:p w14:paraId="28001F33" w14:textId="65668D8A" w:rsidR="00A8721D" w:rsidRPr="00D60242" w:rsidRDefault="009E071C">
      <w:pPr>
        <w:pStyle w:val="BodyText"/>
        <w:spacing w:before="38" w:line="276" w:lineRule="auto"/>
        <w:ind w:left="208" w:right="23"/>
        <w:rPr>
          <w:sz w:val="24"/>
          <w:szCs w:val="24"/>
        </w:rPr>
      </w:pPr>
      <w:r w:rsidRPr="00D60242">
        <w:rPr>
          <w:sz w:val="24"/>
          <w:szCs w:val="24"/>
        </w:rPr>
        <w:t xml:space="preserve">Bahagian </w:t>
      </w:r>
      <w:r w:rsidR="00C17DC8" w:rsidRPr="00D60242">
        <w:rPr>
          <w:sz w:val="24"/>
          <w:szCs w:val="24"/>
        </w:rPr>
        <w:t xml:space="preserve">Produktiviti dan </w:t>
      </w:r>
      <w:r w:rsidRPr="00D60242">
        <w:rPr>
          <w:sz w:val="24"/>
          <w:szCs w:val="24"/>
        </w:rPr>
        <w:t>Dayasaing</w:t>
      </w:r>
    </w:p>
    <w:p w14:paraId="0112717F" w14:textId="529E2432" w:rsidR="009672A3" w:rsidRPr="00D60242" w:rsidRDefault="00DE2E92">
      <w:pPr>
        <w:pStyle w:val="BodyText"/>
        <w:spacing w:before="38" w:line="276" w:lineRule="auto"/>
        <w:ind w:left="208" w:right="23"/>
        <w:rPr>
          <w:sz w:val="24"/>
          <w:szCs w:val="24"/>
        </w:rPr>
      </w:pPr>
      <w:r w:rsidRPr="00D60242">
        <w:rPr>
          <w:sz w:val="24"/>
          <w:szCs w:val="24"/>
        </w:rPr>
        <w:t xml:space="preserve"> </w:t>
      </w:r>
    </w:p>
    <w:p w14:paraId="3B98C58A" w14:textId="03FD6D91" w:rsidR="009672A3" w:rsidRPr="00D60242" w:rsidRDefault="00DE2E92">
      <w:pPr>
        <w:pStyle w:val="BodyText"/>
        <w:spacing w:before="16"/>
        <w:ind w:left="208"/>
        <w:rPr>
          <w:sz w:val="24"/>
          <w:szCs w:val="24"/>
        </w:rPr>
      </w:pPr>
      <w:r w:rsidRPr="00D60242">
        <w:rPr>
          <w:sz w:val="24"/>
          <w:szCs w:val="24"/>
        </w:rPr>
        <w:br w:type="column"/>
      </w:r>
      <w:r w:rsidR="00A8721D" w:rsidRPr="00D60242">
        <w:rPr>
          <w:sz w:val="24"/>
          <w:szCs w:val="24"/>
        </w:rPr>
        <w:t>Timbalan Pengarah</w:t>
      </w:r>
    </w:p>
    <w:p w14:paraId="71709A4D" w14:textId="43F04C58" w:rsidR="009E071C" w:rsidRPr="00D60242" w:rsidRDefault="009E071C">
      <w:pPr>
        <w:pStyle w:val="BodyText"/>
        <w:spacing w:before="38" w:line="276" w:lineRule="auto"/>
        <w:ind w:left="208" w:right="616"/>
        <w:rPr>
          <w:sz w:val="24"/>
          <w:szCs w:val="24"/>
        </w:rPr>
      </w:pPr>
      <w:r w:rsidRPr="00D60242">
        <w:rPr>
          <w:sz w:val="24"/>
          <w:szCs w:val="24"/>
        </w:rPr>
        <w:t xml:space="preserve">Bahagian </w:t>
      </w:r>
      <w:r w:rsidR="00C17DC8" w:rsidRPr="00D60242">
        <w:rPr>
          <w:sz w:val="24"/>
          <w:szCs w:val="24"/>
        </w:rPr>
        <w:t xml:space="preserve">Produktiviti dan </w:t>
      </w:r>
      <w:r w:rsidRPr="00D60242">
        <w:rPr>
          <w:sz w:val="24"/>
          <w:szCs w:val="24"/>
        </w:rPr>
        <w:t>Dayasaing</w:t>
      </w:r>
    </w:p>
    <w:sectPr w:rsidR="009E071C" w:rsidRPr="00D60242">
      <w:type w:val="continuous"/>
      <w:pgSz w:w="11910" w:h="16840"/>
      <w:pgMar w:top="1400" w:right="1320" w:bottom="280" w:left="1340" w:header="720" w:footer="720" w:gutter="0"/>
      <w:cols w:num="2" w:space="720" w:equalWidth="0">
        <w:col w:w="3553" w:space="1551"/>
        <w:col w:w="41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FEE02" w14:textId="77777777" w:rsidR="00204F38" w:rsidRDefault="00204F38" w:rsidP="008A5A97">
      <w:r>
        <w:separator/>
      </w:r>
    </w:p>
  </w:endnote>
  <w:endnote w:type="continuationSeparator" w:id="0">
    <w:p w14:paraId="73E29EF1" w14:textId="77777777" w:rsidR="00204F38" w:rsidRDefault="00204F38" w:rsidP="008A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E7980" w14:textId="77777777" w:rsidR="00204F38" w:rsidRDefault="00204F38" w:rsidP="008A5A97">
      <w:r>
        <w:separator/>
      </w:r>
    </w:p>
  </w:footnote>
  <w:footnote w:type="continuationSeparator" w:id="0">
    <w:p w14:paraId="6931B91A" w14:textId="77777777" w:rsidR="00204F38" w:rsidRDefault="00204F38" w:rsidP="008A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923B8"/>
    <w:multiLevelType w:val="multilevel"/>
    <w:tmpl w:val="EA16FC6E"/>
    <w:lvl w:ilvl="0">
      <w:start w:val="1"/>
      <w:numFmt w:val="decimal"/>
      <w:lvlText w:val="%1.0"/>
      <w:lvlJc w:val="left"/>
      <w:pPr>
        <w:ind w:left="1305" w:hanging="13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025" w:hanging="13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0CA751D"/>
    <w:multiLevelType w:val="hybridMultilevel"/>
    <w:tmpl w:val="55D65FFC"/>
    <w:lvl w:ilvl="0" w:tplc="0B5C19FC">
      <w:start w:val="1"/>
      <w:numFmt w:val="decimal"/>
      <w:lvlText w:val="%1."/>
      <w:lvlJc w:val="left"/>
      <w:pPr>
        <w:ind w:left="8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CB0AB30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FD96081E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9FAE3DF4"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27BA542C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87263C8A"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E97A7F0A"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0D3891A2"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74EE34C6"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2" w15:restartNumberingAfterBreak="0">
    <w:nsid w:val="3EA617F6"/>
    <w:multiLevelType w:val="hybridMultilevel"/>
    <w:tmpl w:val="B5E23072"/>
    <w:lvl w:ilvl="0" w:tplc="152471AC">
      <w:start w:val="1"/>
      <w:numFmt w:val="lowerRoman"/>
      <w:lvlText w:val="%1."/>
      <w:lvlJc w:val="left"/>
      <w:pPr>
        <w:ind w:left="568" w:hanging="21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63A141C">
      <w:numFmt w:val="bullet"/>
      <w:lvlText w:val="•"/>
      <w:lvlJc w:val="left"/>
      <w:pPr>
        <w:ind w:left="1055" w:hanging="212"/>
      </w:pPr>
      <w:rPr>
        <w:rFonts w:hint="default"/>
      </w:rPr>
    </w:lvl>
    <w:lvl w:ilvl="2" w:tplc="D4405820">
      <w:numFmt w:val="bullet"/>
      <w:lvlText w:val="•"/>
      <w:lvlJc w:val="left"/>
      <w:pPr>
        <w:ind w:left="1551" w:hanging="212"/>
      </w:pPr>
      <w:rPr>
        <w:rFonts w:hint="default"/>
      </w:rPr>
    </w:lvl>
    <w:lvl w:ilvl="3" w:tplc="362ED440">
      <w:numFmt w:val="bullet"/>
      <w:lvlText w:val="•"/>
      <w:lvlJc w:val="left"/>
      <w:pPr>
        <w:ind w:left="2047" w:hanging="212"/>
      </w:pPr>
      <w:rPr>
        <w:rFonts w:hint="default"/>
      </w:rPr>
    </w:lvl>
    <w:lvl w:ilvl="4" w:tplc="272E917E">
      <w:numFmt w:val="bullet"/>
      <w:lvlText w:val="•"/>
      <w:lvlJc w:val="left"/>
      <w:pPr>
        <w:ind w:left="2543" w:hanging="212"/>
      </w:pPr>
      <w:rPr>
        <w:rFonts w:hint="default"/>
      </w:rPr>
    </w:lvl>
    <w:lvl w:ilvl="5" w:tplc="FE78DF4C">
      <w:numFmt w:val="bullet"/>
      <w:lvlText w:val="•"/>
      <w:lvlJc w:val="left"/>
      <w:pPr>
        <w:ind w:left="3039" w:hanging="212"/>
      </w:pPr>
      <w:rPr>
        <w:rFonts w:hint="default"/>
      </w:rPr>
    </w:lvl>
    <w:lvl w:ilvl="6" w:tplc="18F85CC6">
      <w:numFmt w:val="bullet"/>
      <w:lvlText w:val="•"/>
      <w:lvlJc w:val="left"/>
      <w:pPr>
        <w:ind w:left="3534" w:hanging="212"/>
      </w:pPr>
      <w:rPr>
        <w:rFonts w:hint="default"/>
      </w:rPr>
    </w:lvl>
    <w:lvl w:ilvl="7" w:tplc="A38E203E">
      <w:numFmt w:val="bullet"/>
      <w:lvlText w:val="•"/>
      <w:lvlJc w:val="left"/>
      <w:pPr>
        <w:ind w:left="4030" w:hanging="212"/>
      </w:pPr>
      <w:rPr>
        <w:rFonts w:hint="default"/>
      </w:rPr>
    </w:lvl>
    <w:lvl w:ilvl="8" w:tplc="61A6832A">
      <w:numFmt w:val="bullet"/>
      <w:lvlText w:val="•"/>
      <w:lvlJc w:val="left"/>
      <w:pPr>
        <w:ind w:left="4526" w:hanging="21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A3"/>
    <w:rsid w:val="00040F11"/>
    <w:rsid w:val="0007282F"/>
    <w:rsid w:val="000A555B"/>
    <w:rsid w:val="000B4096"/>
    <w:rsid w:val="00176380"/>
    <w:rsid w:val="00191C83"/>
    <w:rsid w:val="00204F38"/>
    <w:rsid w:val="00282502"/>
    <w:rsid w:val="002F1251"/>
    <w:rsid w:val="0031001F"/>
    <w:rsid w:val="0040064C"/>
    <w:rsid w:val="00562A91"/>
    <w:rsid w:val="00697A6B"/>
    <w:rsid w:val="006D4C7A"/>
    <w:rsid w:val="006F40F9"/>
    <w:rsid w:val="00743D2B"/>
    <w:rsid w:val="00776172"/>
    <w:rsid w:val="007B4691"/>
    <w:rsid w:val="008A5A97"/>
    <w:rsid w:val="008F7402"/>
    <w:rsid w:val="00933BDA"/>
    <w:rsid w:val="009672A3"/>
    <w:rsid w:val="009A4522"/>
    <w:rsid w:val="009C615E"/>
    <w:rsid w:val="009E071C"/>
    <w:rsid w:val="00A8721D"/>
    <w:rsid w:val="00AF4C99"/>
    <w:rsid w:val="00B42123"/>
    <w:rsid w:val="00B6133A"/>
    <w:rsid w:val="00BF767F"/>
    <w:rsid w:val="00C17DC8"/>
    <w:rsid w:val="00C44AF7"/>
    <w:rsid w:val="00CF0759"/>
    <w:rsid w:val="00D24262"/>
    <w:rsid w:val="00D60242"/>
    <w:rsid w:val="00D63DBB"/>
    <w:rsid w:val="00D77661"/>
    <w:rsid w:val="00DC1237"/>
    <w:rsid w:val="00DE2E92"/>
    <w:rsid w:val="00D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5C2A3"/>
  <w15:docId w15:val="{5B3EF6D7-E336-4FA5-8198-0D5BE084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2774" w:right="2792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08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5A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A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5A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A9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A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Izzul Ikhwan Ishak</dc:creator>
  <cp:lastModifiedBy>Edward Binty</cp:lastModifiedBy>
  <cp:revision>9</cp:revision>
  <dcterms:created xsi:type="dcterms:W3CDTF">2021-02-24T08:03:00Z</dcterms:created>
  <dcterms:modified xsi:type="dcterms:W3CDTF">2021-03-10T23:38:00Z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2020-10-10T00:00:00Z</vt:filetime>
  </property>
</Properties>
</file>