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BECF3" w14:textId="1D5DDCA7" w:rsidR="0042559E" w:rsidRPr="008319E2" w:rsidRDefault="008319E2" w:rsidP="008319E2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3854EC">
        <w:rPr>
          <w:rFonts w:ascii="Arial" w:hAnsi="Arial" w:cs="Arial"/>
          <w:b/>
          <w:bCs/>
          <w:i/>
          <w:iCs/>
          <w:sz w:val="24"/>
          <w:szCs w:val="24"/>
        </w:rPr>
        <w:t>Lampiran 2</w:t>
      </w:r>
    </w:p>
    <w:p w14:paraId="0560E838" w14:textId="36BEB253" w:rsidR="0042559E" w:rsidRPr="00F47DD5" w:rsidRDefault="0042559E" w:rsidP="008319E2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47DD5">
        <w:rPr>
          <w:rFonts w:ascii="Arial" w:hAnsi="Arial" w:cs="Arial"/>
          <w:b/>
          <w:bCs/>
          <w:sz w:val="24"/>
          <w:szCs w:val="24"/>
          <w:shd w:val="clear" w:color="auto" w:fill="FFFFFF"/>
        </w:rPr>
        <w:t>TERMA RUJUKAN</w:t>
      </w:r>
    </w:p>
    <w:p w14:paraId="1E1792BE" w14:textId="0382B7B4" w:rsidR="008319E2" w:rsidRPr="008319E2" w:rsidRDefault="00F47DD5" w:rsidP="008319E2">
      <w:pPr>
        <w:tabs>
          <w:tab w:val="left" w:pos="567"/>
        </w:tabs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34239153"/>
      <w:r>
        <w:rPr>
          <w:rFonts w:ascii="Arial" w:eastAsia="Times New Roman" w:hAnsi="Arial" w:cs="Arial"/>
          <w:b/>
          <w:sz w:val="24"/>
          <w:szCs w:val="24"/>
        </w:rPr>
        <w:t xml:space="preserve">TENAGA PAKAR UNTUK </w:t>
      </w:r>
      <w:r w:rsidR="00581BF2">
        <w:rPr>
          <w:rFonts w:ascii="Arial" w:eastAsia="Times New Roman" w:hAnsi="Arial" w:cs="Arial"/>
          <w:b/>
          <w:sz w:val="24"/>
          <w:szCs w:val="24"/>
        </w:rPr>
        <w:t xml:space="preserve">PENYEDIAAN LAPORAN </w:t>
      </w:r>
      <w:r w:rsidR="008319E2" w:rsidRPr="008319E2">
        <w:rPr>
          <w:rFonts w:ascii="Arial" w:eastAsia="Times New Roman" w:hAnsi="Arial" w:cs="Arial"/>
          <w:b/>
          <w:sz w:val="24"/>
          <w:szCs w:val="24"/>
        </w:rPr>
        <w:t xml:space="preserve">PENILAIAN OUTCOME PROJEK PEMBANGUNAN RMKe-11 MITI UNTUK </w:t>
      </w:r>
      <w:r w:rsidR="008319E2" w:rsidRPr="008319E2">
        <w:rPr>
          <w:rFonts w:ascii="Arial" w:eastAsia="Times New Roman" w:hAnsi="Arial" w:cs="Arial"/>
          <w:b/>
          <w:bCs/>
          <w:sz w:val="24"/>
          <w:szCs w:val="24"/>
        </w:rPr>
        <w:t xml:space="preserve">PROGRAM </w:t>
      </w:r>
      <w:r w:rsidR="00681E3A">
        <w:rPr>
          <w:rFonts w:ascii="Arial" w:eastAsia="Times New Roman" w:hAnsi="Arial" w:cs="Arial"/>
          <w:b/>
          <w:bCs/>
          <w:sz w:val="24"/>
          <w:szCs w:val="24"/>
        </w:rPr>
        <w:t>MEMUDAHKAN KEPERLUAN PERATURAN PERDAGANGAN ANTRABANGSA</w:t>
      </w:r>
      <w:r w:rsidR="00681E3A">
        <w:rPr>
          <w:rFonts w:ascii="Arial" w:eastAsia="Times New Roman" w:hAnsi="Arial" w:cs="Arial"/>
          <w:b/>
          <w:bCs/>
          <w:sz w:val="24"/>
          <w:szCs w:val="24"/>
        </w:rPr>
        <w:t xml:space="preserve"> (NTM)</w:t>
      </w:r>
    </w:p>
    <w:bookmarkEnd w:id="0"/>
    <w:p w14:paraId="044BB687" w14:textId="77777777" w:rsidR="00E141B6" w:rsidRDefault="00E141B6" w:rsidP="0042559E">
      <w:pPr>
        <w:tabs>
          <w:tab w:val="left" w:pos="2425"/>
        </w:tabs>
        <w:rPr>
          <w:rFonts w:ascii="Arial" w:hAnsi="Arial" w:cs="Arial"/>
          <w:sz w:val="28"/>
          <w:szCs w:val="28"/>
        </w:rPr>
      </w:pPr>
    </w:p>
    <w:p w14:paraId="19198D58" w14:textId="269BDCD0" w:rsidR="0042559E" w:rsidRDefault="00EE3240" w:rsidP="00A31463">
      <w:pPr>
        <w:pStyle w:val="ListParagraph"/>
        <w:numPr>
          <w:ilvl w:val="0"/>
          <w:numId w:val="5"/>
        </w:numPr>
        <w:tabs>
          <w:tab w:val="left" w:pos="2425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 w:rsidRPr="00003AC3">
        <w:rPr>
          <w:rFonts w:ascii="Arial" w:hAnsi="Arial" w:cs="Arial"/>
          <w:b/>
          <w:bCs/>
          <w:sz w:val="24"/>
          <w:szCs w:val="24"/>
        </w:rPr>
        <w:t>Latar</w:t>
      </w:r>
      <w:proofErr w:type="spellEnd"/>
      <w:r w:rsidRPr="00003A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03AC3">
        <w:rPr>
          <w:rFonts w:ascii="Arial" w:hAnsi="Arial" w:cs="Arial"/>
          <w:b/>
          <w:bCs/>
          <w:sz w:val="24"/>
          <w:szCs w:val="24"/>
        </w:rPr>
        <w:t>Belakang</w:t>
      </w:r>
      <w:proofErr w:type="spellEnd"/>
    </w:p>
    <w:p w14:paraId="74D2B03C" w14:textId="77777777" w:rsidR="00681E3A" w:rsidRDefault="00681E3A" w:rsidP="00681E3A">
      <w:pPr>
        <w:pStyle w:val="ListParagraph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5ACF03C" w14:textId="1CF16C41" w:rsidR="00681E3A" w:rsidRPr="00681E3A" w:rsidRDefault="00681E3A" w:rsidP="00681E3A">
      <w:pPr>
        <w:pStyle w:val="ListParagraph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Perbadanan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Produktiviti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Malaysia (MPC)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telah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diberikan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mandat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membentuk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ekosistem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teguh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, yang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merupakan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salah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daripada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lima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teras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strategik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negara di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bawah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Blueprint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Produktiviti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Malaysia (MPB) yang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dilancarkan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pada Mei 2017. </w:t>
      </w:r>
    </w:p>
    <w:p w14:paraId="5688EE9C" w14:textId="77777777" w:rsidR="00681E3A" w:rsidRPr="00681E3A" w:rsidRDefault="00681E3A" w:rsidP="00681E3A">
      <w:pPr>
        <w:pStyle w:val="ListParagraph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E36B514" w14:textId="77777777" w:rsidR="00681E3A" w:rsidRPr="00681E3A" w:rsidRDefault="00681E3A" w:rsidP="00681E3A">
      <w:pPr>
        <w:pStyle w:val="ListParagraph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81E3A">
        <w:rPr>
          <w:rFonts w:ascii="Arial" w:hAnsi="Arial" w:cs="Arial"/>
          <w:color w:val="000000"/>
          <w:sz w:val="24"/>
          <w:szCs w:val="24"/>
        </w:rPr>
        <w:t xml:space="preserve">Salah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aktiviti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bawah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teras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ialah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menyemak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semula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Langkah-langkah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Bukan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Tarif (NTMs) yang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menghalang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pertumbuhan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perniagaan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mempercepatkan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kecekapan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perdagangan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di Malaysia.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Aktiviti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tergolong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6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aktiviti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utama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perlu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diambil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tindakan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segera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mencapai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peningkatan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produktiviti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81E3A">
        <w:rPr>
          <w:rFonts w:ascii="Arial" w:hAnsi="Arial" w:cs="Arial"/>
          <w:color w:val="000000"/>
          <w:sz w:val="24"/>
          <w:szCs w:val="24"/>
        </w:rPr>
        <w:t>bagi</w:t>
      </w:r>
      <w:proofErr w:type="spellEnd"/>
      <w:r w:rsidRPr="00681E3A">
        <w:rPr>
          <w:rFonts w:ascii="Arial" w:hAnsi="Arial" w:cs="Arial"/>
          <w:color w:val="000000"/>
          <w:sz w:val="24"/>
          <w:szCs w:val="24"/>
        </w:rPr>
        <w:t xml:space="preserve"> negara.</w:t>
      </w:r>
    </w:p>
    <w:p w14:paraId="4472DD9F" w14:textId="77777777" w:rsidR="00681E3A" w:rsidRPr="00003AC3" w:rsidRDefault="00681E3A" w:rsidP="00681E3A">
      <w:pPr>
        <w:pStyle w:val="ListParagraph"/>
        <w:tabs>
          <w:tab w:val="left" w:pos="2425"/>
        </w:tabs>
        <w:ind w:left="360"/>
        <w:rPr>
          <w:rFonts w:ascii="Arial" w:hAnsi="Arial" w:cs="Arial"/>
          <w:b/>
          <w:bCs/>
          <w:sz w:val="24"/>
          <w:szCs w:val="24"/>
        </w:rPr>
      </w:pPr>
    </w:p>
    <w:p w14:paraId="4FE259B6" w14:textId="57ED2175" w:rsidR="0032237A" w:rsidRPr="0032237A" w:rsidRDefault="00681E3A" w:rsidP="00681E3A">
      <w:pPr>
        <w:tabs>
          <w:tab w:val="left" w:pos="2425"/>
        </w:tabs>
        <w:ind w:left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Selain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itu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d</w:t>
      </w:r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bawah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RMKe-11,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Perbadanan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Produktiviti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Malaysia (MPC) </w:t>
      </w:r>
      <w:proofErr w:type="spellStart"/>
      <w:r w:rsid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telah</w:t>
      </w:r>
      <w:proofErr w:type="spellEnd"/>
      <w:r w:rsid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diberi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mandat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untuk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mengkaji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semula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semua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peraturan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melibatkan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pengendalian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perniagaan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 Malaysia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tujuan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memodenkan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peraturan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perniagaan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bagi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menggalakkan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pertumbuhan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perusahaan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kekayaan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guna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tenaga</w:t>
      </w:r>
      <w:proofErr w:type="spellEnd"/>
      <w:r w:rsidR="0032237A" w:rsidRPr="0032237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79C6769" w14:textId="77777777" w:rsidR="00E141B6" w:rsidRPr="0032237A" w:rsidRDefault="00E141B6" w:rsidP="00A31463">
      <w:pPr>
        <w:tabs>
          <w:tab w:val="left" w:pos="242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4AFE16E" w14:textId="6DD90428" w:rsidR="0042559E" w:rsidRPr="00EE3240" w:rsidRDefault="0042559E" w:rsidP="00A31463">
      <w:pPr>
        <w:pStyle w:val="ListParagraph"/>
        <w:numPr>
          <w:ilvl w:val="0"/>
          <w:numId w:val="5"/>
        </w:numPr>
        <w:tabs>
          <w:tab w:val="left" w:pos="2425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 w:rsidRPr="00EE3240">
        <w:rPr>
          <w:rFonts w:ascii="Arial" w:hAnsi="Arial" w:cs="Arial"/>
          <w:b/>
          <w:bCs/>
          <w:sz w:val="24"/>
          <w:szCs w:val="24"/>
        </w:rPr>
        <w:t>Objektif</w:t>
      </w:r>
      <w:proofErr w:type="spellEnd"/>
      <w:r w:rsidRPr="00EE324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DF105F" w14:textId="7CE5280E" w:rsidR="008A68C6" w:rsidRPr="00A31463" w:rsidRDefault="00681E3A" w:rsidP="00C22736">
      <w:pPr>
        <w:tabs>
          <w:tab w:val="left" w:pos="567"/>
        </w:tabs>
        <w:spacing w:after="120"/>
        <w:ind w:left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581BF2">
        <w:rPr>
          <w:rFonts w:ascii="Arial" w:hAnsi="Arial" w:cs="Arial"/>
          <w:color w:val="000000"/>
          <w:sz w:val="24"/>
          <w:szCs w:val="24"/>
          <w:shd w:val="clear" w:color="auto" w:fill="FFFFFF"/>
        </w:rPr>
        <w:t>aporan</w:t>
      </w:r>
      <w:proofErr w:type="spellEnd"/>
      <w:r w:rsidR="00A54B11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4B11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ini</w:t>
      </w:r>
      <w:proofErr w:type="spellEnd"/>
      <w:r w:rsidR="00A54B11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bertujuan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4B11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melaporkan</w:t>
      </w:r>
      <w:proofErr w:type="spellEnd"/>
      <w:r w:rsidR="00A54B11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4B11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prestasi</w:t>
      </w:r>
      <w:proofErr w:type="spellEnd"/>
      <w:r w:rsidR="00A54B11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14E08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pelaksanaan</w:t>
      </w:r>
      <w:proofErr w:type="spellEnd"/>
      <w:r w:rsidR="00F14E08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dan </w:t>
      </w:r>
      <w:proofErr w:type="spellStart"/>
      <w:r w:rsidR="00F14E08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pencapaian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</w:t>
      </w:r>
      <w:r w:rsidR="006465C0">
        <w:rPr>
          <w:rFonts w:ascii="Arial" w:hAnsi="Arial" w:cs="Arial"/>
          <w:color w:val="000000"/>
          <w:sz w:val="24"/>
          <w:szCs w:val="24"/>
          <w:shd w:val="clear" w:color="auto" w:fill="FFFFFF"/>
        </w:rPr>
        <w:t>rogram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1E3A">
        <w:rPr>
          <w:rFonts w:ascii="Arial" w:eastAsia="Times New Roman" w:hAnsi="Arial" w:cs="Arial"/>
          <w:sz w:val="24"/>
          <w:szCs w:val="24"/>
        </w:rPr>
        <w:t>Memudahkan</w:t>
      </w:r>
      <w:proofErr w:type="spellEnd"/>
      <w:r w:rsidRPr="00681E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1E3A">
        <w:rPr>
          <w:rFonts w:ascii="Arial" w:eastAsia="Times New Roman" w:hAnsi="Arial" w:cs="Arial"/>
          <w:sz w:val="24"/>
          <w:szCs w:val="24"/>
        </w:rPr>
        <w:t>Keperluan</w:t>
      </w:r>
      <w:proofErr w:type="spellEnd"/>
      <w:r w:rsidRPr="00681E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1E3A">
        <w:rPr>
          <w:rFonts w:ascii="Arial" w:eastAsia="Times New Roman" w:hAnsi="Arial" w:cs="Arial"/>
          <w:sz w:val="24"/>
          <w:szCs w:val="24"/>
        </w:rPr>
        <w:t>Peraturan</w:t>
      </w:r>
      <w:proofErr w:type="spellEnd"/>
      <w:r w:rsidRPr="00681E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1E3A">
        <w:rPr>
          <w:rFonts w:ascii="Arial" w:eastAsia="Times New Roman" w:hAnsi="Arial" w:cs="Arial"/>
          <w:sz w:val="24"/>
          <w:szCs w:val="24"/>
        </w:rPr>
        <w:t>Perdagangan</w:t>
      </w:r>
      <w:proofErr w:type="spellEnd"/>
      <w:r w:rsidRPr="00681E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1E3A">
        <w:rPr>
          <w:rFonts w:ascii="Arial" w:eastAsia="Times New Roman" w:hAnsi="Arial" w:cs="Arial"/>
          <w:sz w:val="24"/>
          <w:szCs w:val="24"/>
        </w:rPr>
        <w:t>Antrabangsa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menggunapakai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peruntukan</w:t>
      </w:r>
      <w:proofErr w:type="spellEnd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RMK</w:t>
      </w:r>
      <w:r w:rsidR="00F14E08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-11. </w:t>
      </w:r>
      <w:proofErr w:type="spellStart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Secara</w:t>
      </w:r>
      <w:proofErr w:type="spellEnd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spesifik</w:t>
      </w:r>
      <w:proofErr w:type="spellEnd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81BF2">
        <w:rPr>
          <w:rFonts w:ascii="Arial" w:hAnsi="Arial" w:cs="Arial"/>
          <w:color w:val="000000"/>
          <w:sz w:val="24"/>
          <w:szCs w:val="24"/>
          <w:shd w:val="clear" w:color="auto" w:fill="FFFFFF"/>
        </w:rPr>
        <w:t>ia</w:t>
      </w:r>
      <w:proofErr w:type="spellEnd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bertujuan</w:t>
      </w:r>
      <w:proofErr w:type="spellEnd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untuk</w:t>
      </w:r>
      <w:proofErr w:type="spellEnd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mencapai</w:t>
      </w:r>
      <w:proofErr w:type="spellEnd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objektif-objektif</w:t>
      </w:r>
      <w:proofErr w:type="spellEnd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berikut</w:t>
      </w:r>
      <w:proofErr w:type="spellEnd"/>
      <w:r w:rsidR="008A68C6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</w:p>
    <w:p w14:paraId="0F722CC2" w14:textId="0C6669BA" w:rsidR="00A54B11" w:rsidRPr="00A25A3F" w:rsidRDefault="00C22736" w:rsidP="00C22736">
      <w:pPr>
        <w:pStyle w:val="ListParagraph"/>
        <w:numPr>
          <w:ilvl w:val="0"/>
          <w:numId w:val="1"/>
        </w:numPr>
        <w:ind w:left="284" w:firstLine="283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E55ABA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>elaporkan</w:t>
      </w:r>
      <w:proofErr w:type="spellEnd"/>
      <w:r w:rsidR="00E55ABA" w:rsidRPr="00A314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pencapaian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output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sasaran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sebenar</w:t>
      </w:r>
      <w:proofErr w:type="spellEnd"/>
      <w:r w:rsidR="00100D86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</w:p>
    <w:p w14:paraId="438A893D" w14:textId="220C39E8" w:rsidR="008A68C6" w:rsidRPr="00A25A3F" w:rsidRDefault="00C22736" w:rsidP="00C22736">
      <w:pPr>
        <w:pStyle w:val="ListParagraph"/>
        <w:numPr>
          <w:ilvl w:val="0"/>
          <w:numId w:val="1"/>
        </w:numPr>
        <w:ind w:left="284" w:firstLine="283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 w:rsidR="00E55ABA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enilai</w:t>
      </w:r>
      <w:proofErr w:type="spellEnd"/>
      <w:r w:rsidR="00E55ABA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55ABA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tahap</w:t>
      </w:r>
      <w:proofErr w:type="spellEnd"/>
      <w:r w:rsidR="00E55ABA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pencapaian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outcome</w:t>
      </w:r>
      <w:r w:rsidR="00100D86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</w:p>
    <w:p w14:paraId="3E853543" w14:textId="4FEDDE14" w:rsidR="008A68C6" w:rsidRPr="00A25A3F" w:rsidRDefault="00C22736" w:rsidP="00C22736">
      <w:pPr>
        <w:pStyle w:val="ListParagraph"/>
        <w:numPr>
          <w:ilvl w:val="0"/>
          <w:numId w:val="1"/>
        </w:numPr>
        <w:ind w:left="709" w:hanging="14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engenalpasti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isu-isu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berkaitan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mengusulkan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cadangan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penambahbaikan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sekiranya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perlu</w:t>
      </w:r>
      <w:proofErr w:type="spellEnd"/>
      <w:r w:rsidR="00A31463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00F7BE70" w14:textId="77777777" w:rsidR="00F14E08" w:rsidRPr="00A31463" w:rsidRDefault="00F14E08" w:rsidP="0042559E">
      <w:pPr>
        <w:tabs>
          <w:tab w:val="left" w:pos="242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598EE36" w14:textId="77777777" w:rsidR="00100D86" w:rsidRDefault="00100D86" w:rsidP="00A31463">
      <w:pPr>
        <w:pStyle w:val="ListParagraph"/>
        <w:numPr>
          <w:ilvl w:val="0"/>
          <w:numId w:val="5"/>
        </w:numPr>
        <w:tabs>
          <w:tab w:val="left" w:pos="2425"/>
        </w:tabs>
        <w:rPr>
          <w:rFonts w:ascii="Arial" w:hAnsi="Arial" w:cs="Arial"/>
          <w:b/>
          <w:bCs/>
          <w:sz w:val="28"/>
          <w:szCs w:val="28"/>
        </w:rPr>
        <w:sectPr w:rsidR="00100D86">
          <w:head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468DA58B" w14:textId="77777777" w:rsidR="007E2DBA" w:rsidRPr="00A31463" w:rsidRDefault="007E2DBA" w:rsidP="00A31463">
      <w:pPr>
        <w:tabs>
          <w:tab w:val="left" w:pos="242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C1866AC" w14:textId="26DB4093" w:rsidR="0042559E" w:rsidRPr="00EE3240" w:rsidRDefault="0042559E" w:rsidP="00A31463">
      <w:pPr>
        <w:pStyle w:val="ListParagraph"/>
        <w:numPr>
          <w:ilvl w:val="0"/>
          <w:numId w:val="5"/>
        </w:numPr>
        <w:tabs>
          <w:tab w:val="left" w:pos="2425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 w:rsidRPr="00EE3240">
        <w:rPr>
          <w:rFonts w:ascii="Arial" w:hAnsi="Arial" w:cs="Arial"/>
          <w:b/>
          <w:bCs/>
          <w:sz w:val="24"/>
          <w:szCs w:val="24"/>
        </w:rPr>
        <w:t>Metodologi</w:t>
      </w:r>
      <w:proofErr w:type="spellEnd"/>
    </w:p>
    <w:p w14:paraId="1E1EBA01" w14:textId="256ECBA4" w:rsidR="00530DA0" w:rsidRPr="00A31463" w:rsidRDefault="00581BF2" w:rsidP="00C22736">
      <w:pPr>
        <w:tabs>
          <w:tab w:val="left" w:pos="2425"/>
        </w:tabs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Laporan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30DA0" w:rsidRPr="00A31463">
        <w:rPr>
          <w:rFonts w:ascii="Arial" w:hAnsi="Arial" w:cs="Arial"/>
          <w:sz w:val="24"/>
          <w:szCs w:val="24"/>
          <w:shd w:val="clear" w:color="auto" w:fill="FFFFFF"/>
        </w:rPr>
        <w:t>menggunakan</w:t>
      </w:r>
      <w:proofErr w:type="spellEnd"/>
      <w:r w:rsidR="00530DA0" w:rsidRPr="00A31463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="00530DA0" w:rsidRPr="00A31463">
        <w:rPr>
          <w:rFonts w:ascii="Arial" w:hAnsi="Arial" w:cs="Arial"/>
          <w:sz w:val="24"/>
          <w:szCs w:val="24"/>
          <w:shd w:val="clear" w:color="auto" w:fill="FFFFFF"/>
        </w:rPr>
        <w:t>pendekatan</w:t>
      </w:r>
      <w:proofErr w:type="spellEnd"/>
      <w:r w:rsidR="00530DA0" w:rsidRPr="00A314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30DA0" w:rsidRPr="00A31463">
        <w:rPr>
          <w:rFonts w:ascii="Arial" w:hAnsi="Arial" w:cs="Arial"/>
          <w:sz w:val="24"/>
          <w:szCs w:val="24"/>
          <w:shd w:val="clear" w:color="auto" w:fill="FFFFFF"/>
        </w:rPr>
        <w:t>kaeda</w:t>
      </w:r>
      <w:r w:rsidR="007A3671">
        <w:rPr>
          <w:rFonts w:ascii="Arial" w:hAnsi="Arial" w:cs="Arial"/>
          <w:sz w:val="24"/>
          <w:szCs w:val="24"/>
          <w:shd w:val="clear" w:color="auto" w:fill="FFFFFF"/>
        </w:rPr>
        <w:t>h</w:t>
      </w:r>
      <w:proofErr w:type="spellEnd"/>
      <w:r w:rsidR="007A3671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laporan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3671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campuran</w:t>
      </w:r>
      <w:proofErr w:type="spellEnd"/>
      <w:r w:rsidR="007A3671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bersesuaian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termasuk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3671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iaitu</w:t>
      </w:r>
      <w:proofErr w:type="spellEnd"/>
      <w:r w:rsidR="007A3671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3671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kaedah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Laporan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A3671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</w:t>
      </w:r>
      <w:r w:rsidR="00530DA0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dan </w:t>
      </w:r>
      <w:proofErr w:type="spellStart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kaedah</w:t>
      </w:r>
      <w:proofErr w:type="spellEnd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Analisis</w:t>
      </w:r>
      <w:proofErr w:type="spellEnd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Jurang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16C5E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memberi</w:t>
      </w:r>
      <w:proofErr w:type="spellEnd"/>
      <w:r w:rsidR="00416C5E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="00416C5E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tumpuan</w:t>
      </w:r>
      <w:proofErr w:type="spellEnd"/>
      <w:r w:rsidR="00416C5E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="00416C5E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="00416C5E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="00416C5E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tiga</w:t>
      </w:r>
      <w:proofErr w:type="spellEnd"/>
      <w:r w:rsidR="00416C5E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laporan</w:t>
      </w:r>
      <w:proofErr w:type="spellEnd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antarabangsa</w:t>
      </w:r>
      <w:proofErr w:type="spellEnd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utama</w:t>
      </w:r>
      <w:proofErr w:type="spellEnd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dipantau</w:t>
      </w:r>
      <w:proofErr w:type="spellEnd"/>
      <w:r w:rsidR="000B2EFD" w:rsidRPr="00A25A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oleh </w:t>
      </w:r>
      <w:r w:rsidR="000B2EFD" w:rsidRPr="00A31463">
        <w:rPr>
          <w:rFonts w:ascii="Arial" w:hAnsi="Arial" w:cs="Arial"/>
          <w:sz w:val="24"/>
          <w:szCs w:val="24"/>
          <w:shd w:val="clear" w:color="auto" w:fill="FFFFFF"/>
        </w:rPr>
        <w:t xml:space="preserve">MPC </w:t>
      </w:r>
      <w:proofErr w:type="spellStart"/>
      <w:r w:rsidR="000B2EFD" w:rsidRPr="00A31463">
        <w:rPr>
          <w:rFonts w:ascii="Arial" w:hAnsi="Arial" w:cs="Arial"/>
          <w:sz w:val="24"/>
          <w:szCs w:val="24"/>
          <w:shd w:val="clear" w:color="auto" w:fill="FFFFFF"/>
        </w:rPr>
        <w:t>iaitu</w:t>
      </w:r>
      <w:proofErr w:type="spellEnd"/>
      <w:r w:rsidR="000B2EFD" w:rsidRPr="00A314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>laporan</w:t>
      </w:r>
      <w:proofErr w:type="spellEnd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spellStart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>daya</w:t>
      </w:r>
      <w:proofErr w:type="spellEnd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spellStart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>saing</w:t>
      </w:r>
      <w:proofErr w:type="spellEnd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spellStart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>utama</w:t>
      </w:r>
      <w:proofErr w:type="spellEnd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>iaitu</w:t>
      </w:r>
      <w:proofErr w:type="spellEnd"/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 xml:space="preserve"> World Competitiveness</w:t>
      </w:r>
      <w:r w:rsidR="00A314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>Yearbook</w:t>
      </w:r>
      <w:r w:rsidR="00A314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>(WCY), Global  Competitiveness</w:t>
      </w:r>
      <w:r w:rsidR="00A314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>Report</w:t>
      </w:r>
      <w:r w:rsidR="00A314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6C5E" w:rsidRPr="00A31463">
        <w:rPr>
          <w:rFonts w:ascii="Arial" w:hAnsi="Arial" w:cs="Arial"/>
          <w:sz w:val="24"/>
          <w:szCs w:val="24"/>
          <w:shd w:val="clear" w:color="auto" w:fill="FFFFFF"/>
        </w:rPr>
        <w:t>(GCR) dan World Bank Doing Business</w:t>
      </w:r>
      <w:r w:rsidR="00563C48" w:rsidRPr="00A3146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22736">
        <w:rPr>
          <w:rFonts w:ascii="Arial" w:hAnsi="Arial" w:cs="Arial"/>
          <w:sz w:val="24"/>
          <w:szCs w:val="24"/>
          <w:shd w:val="clear" w:color="auto" w:fill="FFFFFF"/>
        </w:rPr>
        <w:t>(EODB)</w:t>
      </w:r>
    </w:p>
    <w:p w14:paraId="48096954" w14:textId="77777777" w:rsidR="00F14E08" w:rsidRPr="00A31463" w:rsidRDefault="00F14E08" w:rsidP="0042559E">
      <w:pPr>
        <w:tabs>
          <w:tab w:val="left" w:pos="2425"/>
        </w:tabs>
        <w:rPr>
          <w:rFonts w:ascii="Arial" w:hAnsi="Arial" w:cs="Arial"/>
          <w:sz w:val="24"/>
          <w:szCs w:val="24"/>
          <w:shd w:val="clear" w:color="auto" w:fill="FFFFFF"/>
        </w:rPr>
      </w:pPr>
    </w:p>
    <w:p w14:paraId="2BECB169" w14:textId="3346AE2F" w:rsidR="0042559E" w:rsidRPr="00EE3240" w:rsidRDefault="00C22736" w:rsidP="00A31463">
      <w:pPr>
        <w:pStyle w:val="ListParagraph"/>
        <w:numPr>
          <w:ilvl w:val="0"/>
          <w:numId w:val="5"/>
        </w:numPr>
        <w:tabs>
          <w:tab w:val="left" w:pos="2425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Skop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Kerja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Bayaran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</w:p>
    <w:p w14:paraId="7F481769" w14:textId="63AF43DF" w:rsidR="00C22736" w:rsidRPr="00C22736" w:rsidRDefault="00C22736" w:rsidP="00C22736">
      <w:pPr>
        <w:pStyle w:val="Heading1"/>
        <w:spacing w:before="171"/>
        <w:ind w:left="426"/>
        <w:rPr>
          <w:rFonts w:ascii="Arial" w:hAnsi="Arial" w:cs="Arial"/>
          <w:sz w:val="24"/>
          <w:szCs w:val="24"/>
        </w:rPr>
      </w:pP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Tempoh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dan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skop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kerja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ini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adalah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selama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satu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(1)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bulan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bermula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denga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penerimaan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formal TOR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ini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oleh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pakar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Sebarang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pelanjutan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tempoh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projek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hendaklah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dibuat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atas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persetujuan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C22736">
        <w:rPr>
          <w:rFonts w:ascii="Arial" w:hAnsi="Arial" w:cs="Arial"/>
          <w:b w:val="0"/>
          <w:bCs w:val="0"/>
          <w:sz w:val="24"/>
          <w:szCs w:val="24"/>
        </w:rPr>
        <w:t>bersama</w:t>
      </w:r>
      <w:proofErr w:type="spellEnd"/>
      <w:r w:rsidRPr="00C22736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0BB70DD6" w14:textId="35A7B560" w:rsidR="00C22736" w:rsidRPr="00C22736" w:rsidRDefault="00C22736" w:rsidP="00C22736">
      <w:pPr>
        <w:pStyle w:val="BodyText"/>
        <w:spacing w:before="2"/>
        <w:ind w:left="426"/>
        <w:rPr>
          <w:rFonts w:ascii="Arial" w:hAnsi="Arial" w:cs="Arial"/>
          <w:sz w:val="24"/>
          <w:szCs w:val="24"/>
        </w:rPr>
      </w:pPr>
      <w:r w:rsidRPr="00C22736">
        <w:rPr>
          <w:rFonts w:ascii="Arial" w:hAnsi="Arial" w:cs="Arial"/>
          <w:sz w:val="24"/>
          <w:szCs w:val="24"/>
        </w:rPr>
        <w:t>Skop kerja dan yuran professional adalah seperti berikut:-</w:t>
      </w:r>
    </w:p>
    <w:p w14:paraId="089A736F" w14:textId="77777777" w:rsidR="00C22736" w:rsidRPr="00B63B6E" w:rsidRDefault="00C22736" w:rsidP="00C22736">
      <w:pPr>
        <w:spacing w:before="146" w:after="49" w:line="360" w:lineRule="auto"/>
        <w:ind w:right="220"/>
        <w:jc w:val="both"/>
        <w:rPr>
          <w:sz w:val="12"/>
        </w:rPr>
      </w:pPr>
    </w:p>
    <w:tbl>
      <w:tblPr>
        <w:tblpPr w:leftFromText="180" w:rightFromText="180" w:vertAnchor="text" w:tblpX="81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5"/>
        <w:gridCol w:w="1095"/>
        <w:gridCol w:w="1530"/>
        <w:gridCol w:w="1170"/>
      </w:tblGrid>
      <w:tr w:rsidR="00C22736" w14:paraId="00E2D0F1" w14:textId="77777777" w:rsidTr="00816D2D">
        <w:trPr>
          <w:trHeight w:val="518"/>
        </w:trPr>
        <w:tc>
          <w:tcPr>
            <w:tcW w:w="4145" w:type="dxa"/>
            <w:shd w:val="clear" w:color="auto" w:fill="BDD6EE" w:themeFill="accent5" w:themeFillTint="66"/>
          </w:tcPr>
          <w:p w14:paraId="284B0EA4" w14:textId="77777777" w:rsidR="00C22736" w:rsidRPr="002D1D7F" w:rsidRDefault="00C22736" w:rsidP="00C22736">
            <w:pPr>
              <w:pStyle w:val="TableParagraph"/>
              <w:ind w:left="1260" w:right="1255" w:hanging="409"/>
              <w:jc w:val="center"/>
              <w:rPr>
                <w:rFonts w:asciiTheme="minorHAnsi" w:hAnsiTheme="minorHAnsi" w:cstheme="minorHAnsi"/>
                <w:b/>
              </w:rPr>
            </w:pPr>
            <w:r w:rsidRPr="002D1D7F">
              <w:rPr>
                <w:rFonts w:asciiTheme="minorHAnsi" w:hAnsiTheme="minorHAnsi" w:cstheme="minorHAnsi"/>
                <w:b/>
              </w:rPr>
              <w:t>Aktiviti</w:t>
            </w:r>
          </w:p>
        </w:tc>
        <w:tc>
          <w:tcPr>
            <w:tcW w:w="1095" w:type="dxa"/>
            <w:shd w:val="clear" w:color="auto" w:fill="BDD6EE" w:themeFill="accent5" w:themeFillTint="66"/>
          </w:tcPr>
          <w:p w14:paraId="627D6E96" w14:textId="77777777" w:rsidR="00C22736" w:rsidRPr="002D1D7F" w:rsidRDefault="00C22736" w:rsidP="00C22736">
            <w:pPr>
              <w:pStyle w:val="TableParagraph"/>
              <w:spacing w:before="3" w:line="254" w:lineRule="exact"/>
              <w:ind w:left="360" w:right="162" w:hanging="409"/>
              <w:jc w:val="right"/>
              <w:rPr>
                <w:rFonts w:asciiTheme="minorHAnsi" w:hAnsiTheme="minorHAnsi" w:cstheme="minorHAnsi"/>
                <w:b/>
              </w:rPr>
            </w:pPr>
            <w:r w:rsidRPr="002D1D7F">
              <w:rPr>
                <w:rFonts w:asciiTheme="minorHAnsi" w:hAnsiTheme="minorHAnsi" w:cstheme="minorHAnsi"/>
                <w:b/>
              </w:rPr>
              <w:t>Jumlah Hari</w:t>
            </w:r>
          </w:p>
        </w:tc>
        <w:tc>
          <w:tcPr>
            <w:tcW w:w="1530" w:type="dxa"/>
            <w:shd w:val="clear" w:color="auto" w:fill="BDD6EE" w:themeFill="accent5" w:themeFillTint="66"/>
          </w:tcPr>
          <w:p w14:paraId="01085580" w14:textId="76464F47" w:rsidR="00C22736" w:rsidRPr="002D1D7F" w:rsidRDefault="00C22736" w:rsidP="00C22736">
            <w:pPr>
              <w:pStyle w:val="TableParagraph"/>
              <w:spacing w:before="3" w:line="254" w:lineRule="exact"/>
              <w:ind w:left="87" w:right="162" w:hanging="409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Kadar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2D1D7F">
              <w:rPr>
                <w:rFonts w:asciiTheme="minorHAnsi" w:hAnsiTheme="minorHAnsi" w:cstheme="minorHAnsi"/>
                <w:b/>
              </w:rPr>
              <w:t>sehari (RM)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37C4BD48" w14:textId="77777777" w:rsidR="00C22736" w:rsidRPr="002D1D7F" w:rsidRDefault="00C22736" w:rsidP="00C22736">
            <w:pPr>
              <w:pStyle w:val="TableParagraph"/>
              <w:spacing w:before="3" w:line="254" w:lineRule="exact"/>
              <w:ind w:left="87" w:right="162" w:hanging="409"/>
              <w:jc w:val="right"/>
              <w:rPr>
                <w:rFonts w:asciiTheme="minorHAnsi" w:hAnsiTheme="minorHAnsi" w:cstheme="minorHAnsi"/>
                <w:b/>
              </w:rPr>
            </w:pPr>
            <w:r w:rsidRPr="002D1D7F">
              <w:rPr>
                <w:rFonts w:asciiTheme="minorHAnsi" w:hAnsiTheme="minorHAnsi" w:cstheme="minorHAnsi"/>
                <w:b/>
              </w:rPr>
              <w:t>Jumlah</w:t>
            </w:r>
          </w:p>
          <w:p w14:paraId="119E4C53" w14:textId="77777777" w:rsidR="00C22736" w:rsidRPr="002D1D7F" w:rsidRDefault="00C22736" w:rsidP="00C22736">
            <w:pPr>
              <w:pStyle w:val="TableParagraph"/>
              <w:spacing w:before="3" w:line="254" w:lineRule="exact"/>
              <w:ind w:left="87" w:right="162" w:hanging="409"/>
              <w:jc w:val="right"/>
              <w:rPr>
                <w:rFonts w:asciiTheme="minorHAnsi" w:hAnsiTheme="minorHAnsi" w:cstheme="minorHAnsi"/>
                <w:b/>
              </w:rPr>
            </w:pPr>
            <w:r w:rsidRPr="002D1D7F">
              <w:rPr>
                <w:rFonts w:asciiTheme="minorHAnsi" w:hAnsiTheme="minorHAnsi" w:cstheme="minorHAnsi"/>
                <w:b/>
              </w:rPr>
              <w:t>(RM)</w:t>
            </w:r>
          </w:p>
        </w:tc>
      </w:tr>
      <w:tr w:rsidR="00816D2D" w14:paraId="084A6B38" w14:textId="77777777" w:rsidTr="00816D2D">
        <w:trPr>
          <w:trHeight w:val="505"/>
        </w:trPr>
        <w:tc>
          <w:tcPr>
            <w:tcW w:w="4145" w:type="dxa"/>
          </w:tcPr>
          <w:p w14:paraId="1876574A" w14:textId="5C0871E0" w:rsidR="00816D2D" w:rsidRPr="002D1D7F" w:rsidRDefault="00816D2D" w:rsidP="00C227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E0497A">
              <w:rPr>
                <w:rFonts w:ascii="Arial" w:hAnsi="Arial" w:cs="Arial"/>
                <w:sz w:val="24"/>
              </w:rPr>
              <w:t>Men</w:t>
            </w:r>
            <w:r>
              <w:rPr>
                <w:rFonts w:ascii="Arial" w:hAnsi="Arial" w:cs="Arial"/>
                <w:sz w:val="24"/>
              </w:rPr>
              <w:t>g</w:t>
            </w:r>
            <w:r>
              <w:rPr>
                <w:rFonts w:ascii="Arial" w:hAnsi="Arial" w:cs="Arial"/>
                <w:sz w:val="24"/>
              </w:rPr>
              <w:t>umpulkan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maklumat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dan data </w:t>
            </w:r>
            <w:proofErr w:type="spellStart"/>
            <w:r>
              <w:rPr>
                <w:rFonts w:ascii="Arial" w:hAnsi="Arial" w:cs="Arial"/>
                <w:sz w:val="24"/>
              </w:rPr>
              <w:t>berkaitan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program NTM (2018-2020)</w:t>
            </w:r>
          </w:p>
        </w:tc>
        <w:tc>
          <w:tcPr>
            <w:tcW w:w="1095" w:type="dxa"/>
          </w:tcPr>
          <w:p w14:paraId="0EFF6C08" w14:textId="3C66E1E7" w:rsidR="00816D2D" w:rsidRPr="00816D2D" w:rsidRDefault="00816D2D" w:rsidP="00816D2D">
            <w:pPr>
              <w:pStyle w:val="TableParagraph"/>
              <w:spacing w:before="127"/>
              <w:ind w:left="9" w:right="237" w:hanging="4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D2D">
              <w:rPr>
                <w:rFonts w:ascii="Arial" w:hAnsi="Arial" w:cs="Arial"/>
                <w:sz w:val="24"/>
                <w:szCs w:val="24"/>
              </w:rPr>
              <w:t xml:space="preserve">           3</w:t>
            </w:r>
          </w:p>
        </w:tc>
        <w:tc>
          <w:tcPr>
            <w:tcW w:w="1530" w:type="dxa"/>
            <w:vMerge w:val="restart"/>
          </w:tcPr>
          <w:p w14:paraId="77E02C15" w14:textId="77777777" w:rsidR="00816D2D" w:rsidRPr="00816D2D" w:rsidRDefault="00816D2D" w:rsidP="00C22736">
            <w:pPr>
              <w:pStyle w:val="TableParagraph"/>
              <w:spacing w:before="127"/>
              <w:ind w:left="9"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081A86" w14:textId="77777777" w:rsidR="00816D2D" w:rsidRPr="00816D2D" w:rsidRDefault="00816D2D" w:rsidP="00816D2D">
            <w:pPr>
              <w:pStyle w:val="TableParagraph"/>
              <w:spacing w:before="127"/>
              <w:ind w:left="-146" w:hanging="114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EE76B3" w14:textId="77777777" w:rsidR="00816D2D" w:rsidRPr="00816D2D" w:rsidRDefault="00816D2D" w:rsidP="00C22736">
            <w:pPr>
              <w:pStyle w:val="TableParagraph"/>
              <w:spacing w:before="127"/>
              <w:ind w:left="9"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4C79C9" w14:textId="18E2C9B1" w:rsidR="00816D2D" w:rsidRPr="00816D2D" w:rsidRDefault="00816D2D" w:rsidP="00C22736">
            <w:pPr>
              <w:pStyle w:val="TableParagraph"/>
              <w:spacing w:before="127"/>
              <w:ind w:left="9" w:hanging="4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816D2D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1170" w:type="dxa"/>
            <w:vMerge w:val="restart"/>
          </w:tcPr>
          <w:p w14:paraId="6AE8D5CE" w14:textId="77777777" w:rsidR="00816D2D" w:rsidRPr="00816D2D" w:rsidRDefault="00816D2D" w:rsidP="00C22736">
            <w:pPr>
              <w:pStyle w:val="TableParagraph"/>
              <w:spacing w:before="127"/>
              <w:ind w:left="9"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5F2C1D" w14:textId="77777777" w:rsidR="00816D2D" w:rsidRPr="00816D2D" w:rsidRDefault="00816D2D" w:rsidP="00C22736">
            <w:pPr>
              <w:pStyle w:val="TableParagraph"/>
              <w:spacing w:before="127"/>
              <w:ind w:left="9"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BF3C8" w14:textId="77777777" w:rsidR="00816D2D" w:rsidRPr="00816D2D" w:rsidRDefault="00816D2D" w:rsidP="00C22736">
            <w:pPr>
              <w:pStyle w:val="TableParagraph"/>
              <w:spacing w:before="127"/>
              <w:ind w:left="9"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340FAF" w14:textId="0B5B7F82" w:rsidR="00816D2D" w:rsidRPr="00816D2D" w:rsidRDefault="00816D2D" w:rsidP="00C22736">
            <w:pPr>
              <w:pStyle w:val="TableParagraph"/>
              <w:spacing w:before="127"/>
              <w:ind w:left="9" w:hanging="4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15,000</w:t>
            </w:r>
          </w:p>
        </w:tc>
      </w:tr>
      <w:tr w:rsidR="00816D2D" w14:paraId="621B5E19" w14:textId="77777777" w:rsidTr="00816D2D">
        <w:trPr>
          <w:trHeight w:val="505"/>
        </w:trPr>
        <w:tc>
          <w:tcPr>
            <w:tcW w:w="4145" w:type="dxa"/>
          </w:tcPr>
          <w:p w14:paraId="29FFF120" w14:textId="1E7EB479" w:rsidR="00816D2D" w:rsidRDefault="00816D2D" w:rsidP="00816D2D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Mendapatkan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maklumat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berkaitan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laporan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WCY, GCR dan EODB </w:t>
            </w:r>
          </w:p>
        </w:tc>
        <w:tc>
          <w:tcPr>
            <w:tcW w:w="1095" w:type="dxa"/>
          </w:tcPr>
          <w:p w14:paraId="5AD231CA" w14:textId="4273D76F" w:rsidR="00816D2D" w:rsidRPr="00816D2D" w:rsidRDefault="00816D2D" w:rsidP="00816D2D">
            <w:pPr>
              <w:pStyle w:val="TableParagraph"/>
              <w:spacing w:before="127"/>
              <w:ind w:left="9" w:right="237" w:hanging="4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D2D">
              <w:rPr>
                <w:rFonts w:ascii="Arial" w:hAnsi="Arial" w:cs="Arial"/>
                <w:sz w:val="24"/>
                <w:szCs w:val="24"/>
              </w:rPr>
              <w:t xml:space="preserve">          1</w:t>
            </w:r>
          </w:p>
        </w:tc>
        <w:tc>
          <w:tcPr>
            <w:tcW w:w="1530" w:type="dxa"/>
            <w:vMerge/>
          </w:tcPr>
          <w:p w14:paraId="4CCCF211" w14:textId="77777777" w:rsidR="00816D2D" w:rsidRPr="00816D2D" w:rsidRDefault="00816D2D" w:rsidP="00C22736">
            <w:pPr>
              <w:pStyle w:val="TableParagraph"/>
              <w:spacing w:before="127"/>
              <w:ind w:left="9"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D6F4E4A" w14:textId="77777777" w:rsidR="00816D2D" w:rsidRPr="00816D2D" w:rsidRDefault="00816D2D" w:rsidP="00C22736">
            <w:pPr>
              <w:pStyle w:val="TableParagraph"/>
              <w:spacing w:before="127"/>
              <w:ind w:left="9"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D2D" w14:paraId="068CAC75" w14:textId="77777777" w:rsidTr="00816D2D">
        <w:trPr>
          <w:trHeight w:val="428"/>
        </w:trPr>
        <w:tc>
          <w:tcPr>
            <w:tcW w:w="4145" w:type="dxa"/>
          </w:tcPr>
          <w:p w14:paraId="4EF5D09B" w14:textId="7DDE5A19" w:rsidR="00816D2D" w:rsidRPr="002D1D7F" w:rsidRDefault="00816D2D" w:rsidP="00816D2D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cstheme="minorHAnsi"/>
              </w:rPr>
            </w:pPr>
            <w:proofErr w:type="spellStart"/>
            <w:r w:rsidRPr="00C22736">
              <w:rPr>
                <w:rFonts w:ascii="Arial" w:hAnsi="Arial" w:cs="Arial"/>
                <w:sz w:val="24"/>
              </w:rPr>
              <w:t>Membuat</w:t>
            </w:r>
            <w:proofErr w:type="spellEnd"/>
            <w:r w:rsidRPr="00C2273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C22736">
              <w:rPr>
                <w:rFonts w:ascii="Arial" w:hAnsi="Arial" w:cs="Arial"/>
                <w:sz w:val="24"/>
              </w:rPr>
              <w:t>analisis</w:t>
            </w:r>
            <w:proofErr w:type="spellEnd"/>
            <w:r w:rsidRPr="00C2273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C22736">
              <w:rPr>
                <w:rFonts w:ascii="Arial" w:hAnsi="Arial" w:cs="Arial"/>
                <w:sz w:val="24"/>
              </w:rPr>
              <w:t>menggunakan</w:t>
            </w:r>
            <w:proofErr w:type="spellEnd"/>
            <w:r w:rsidRPr="00C2273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C22736">
              <w:rPr>
                <w:rFonts w:ascii="Arial" w:hAnsi="Arial" w:cs="Arial"/>
                <w:sz w:val="24"/>
              </w:rPr>
              <w:t>kaedah</w:t>
            </w:r>
            <w:proofErr w:type="spellEnd"/>
            <w:r w:rsidRPr="00C22736">
              <w:rPr>
                <w:rFonts w:ascii="Arial" w:hAnsi="Arial" w:cs="Arial"/>
                <w:sz w:val="24"/>
              </w:rPr>
              <w:t xml:space="preserve"> yang </w:t>
            </w:r>
            <w:proofErr w:type="spellStart"/>
            <w:r w:rsidRPr="00C22736">
              <w:rPr>
                <w:rFonts w:ascii="Arial" w:hAnsi="Arial" w:cs="Arial"/>
                <w:sz w:val="24"/>
              </w:rPr>
              <w:t>bersesuaian</w:t>
            </w:r>
            <w:proofErr w:type="spellEnd"/>
          </w:p>
        </w:tc>
        <w:tc>
          <w:tcPr>
            <w:tcW w:w="1095" w:type="dxa"/>
          </w:tcPr>
          <w:p w14:paraId="475096E3" w14:textId="62E2F3C2" w:rsidR="00816D2D" w:rsidRPr="00816D2D" w:rsidRDefault="00816D2D" w:rsidP="00816D2D">
            <w:pPr>
              <w:pStyle w:val="TableParagraph"/>
              <w:ind w:left="9" w:right="237" w:hanging="4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D2D">
              <w:rPr>
                <w:rFonts w:ascii="Arial" w:hAnsi="Arial" w:cs="Arial"/>
                <w:sz w:val="24"/>
                <w:szCs w:val="24"/>
              </w:rPr>
              <w:t xml:space="preserve">          2</w:t>
            </w:r>
          </w:p>
        </w:tc>
        <w:tc>
          <w:tcPr>
            <w:tcW w:w="1530" w:type="dxa"/>
            <w:vMerge/>
          </w:tcPr>
          <w:p w14:paraId="79B94E5D" w14:textId="77777777" w:rsidR="00816D2D" w:rsidRPr="00816D2D" w:rsidRDefault="00816D2D" w:rsidP="00C22736">
            <w:pPr>
              <w:pStyle w:val="TableParagraph"/>
              <w:spacing w:before="5"/>
              <w:ind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5004610" w14:textId="77777777" w:rsidR="00816D2D" w:rsidRPr="00816D2D" w:rsidRDefault="00816D2D" w:rsidP="00C22736">
            <w:pPr>
              <w:pStyle w:val="TableParagraph"/>
              <w:spacing w:before="5"/>
              <w:ind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D2D" w14:paraId="253D2E1C" w14:textId="77777777" w:rsidTr="00816D2D">
        <w:trPr>
          <w:trHeight w:val="437"/>
        </w:trPr>
        <w:tc>
          <w:tcPr>
            <w:tcW w:w="4145" w:type="dxa"/>
          </w:tcPr>
          <w:p w14:paraId="5DC0B368" w14:textId="743A6B8B" w:rsidR="00816D2D" w:rsidRDefault="00816D2D" w:rsidP="00816D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E0497A">
              <w:rPr>
                <w:rFonts w:ascii="Arial" w:hAnsi="Arial" w:cs="Arial"/>
                <w:sz w:val="24"/>
              </w:rPr>
              <w:t>Menyediakan</w:t>
            </w:r>
            <w:proofErr w:type="spellEnd"/>
            <w:r w:rsidRPr="00E0497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laporan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berdasarkan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objektif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seperti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perkara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2 di </w:t>
            </w:r>
            <w:proofErr w:type="spellStart"/>
            <w:r>
              <w:rPr>
                <w:rFonts w:ascii="Arial" w:hAnsi="Arial" w:cs="Arial"/>
                <w:sz w:val="24"/>
              </w:rPr>
              <w:t>atas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1095" w:type="dxa"/>
          </w:tcPr>
          <w:p w14:paraId="44AF91BF" w14:textId="0117A670" w:rsidR="00816D2D" w:rsidRPr="00816D2D" w:rsidRDefault="00816D2D" w:rsidP="00816D2D">
            <w:pPr>
              <w:pStyle w:val="TableParagraph"/>
              <w:ind w:left="241" w:hanging="6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D2D">
              <w:rPr>
                <w:rFonts w:ascii="Arial" w:hAnsi="Arial" w:cs="Arial"/>
                <w:sz w:val="24"/>
                <w:szCs w:val="24"/>
              </w:rPr>
              <w:t xml:space="preserve">     3</w:t>
            </w:r>
          </w:p>
        </w:tc>
        <w:tc>
          <w:tcPr>
            <w:tcW w:w="1530" w:type="dxa"/>
            <w:vMerge/>
          </w:tcPr>
          <w:p w14:paraId="1E77149F" w14:textId="77777777" w:rsidR="00816D2D" w:rsidRPr="00816D2D" w:rsidRDefault="00816D2D" w:rsidP="00C22736">
            <w:pPr>
              <w:pStyle w:val="TableParagraph"/>
              <w:spacing w:before="5"/>
              <w:ind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95ECF22" w14:textId="77777777" w:rsidR="00816D2D" w:rsidRPr="00816D2D" w:rsidRDefault="00816D2D" w:rsidP="00C22736">
            <w:pPr>
              <w:pStyle w:val="TableParagraph"/>
              <w:spacing w:before="5"/>
              <w:ind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D2D" w14:paraId="47B7F445" w14:textId="77777777" w:rsidTr="00816D2D">
        <w:trPr>
          <w:trHeight w:val="437"/>
        </w:trPr>
        <w:tc>
          <w:tcPr>
            <w:tcW w:w="4145" w:type="dxa"/>
          </w:tcPr>
          <w:p w14:paraId="5AFEFF67" w14:textId="79FE29C5" w:rsidR="00816D2D" w:rsidRDefault="00816D2D" w:rsidP="00816D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Menyediakan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slide dan </w:t>
            </w:r>
            <w:proofErr w:type="spellStart"/>
            <w:r>
              <w:rPr>
                <w:rFonts w:ascii="Arial" w:hAnsi="Arial" w:cs="Arial"/>
                <w:sz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pembentangan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sekretariat</w:t>
            </w:r>
            <w:proofErr w:type="spellEnd"/>
          </w:p>
          <w:p w14:paraId="51DBB821" w14:textId="2BAB0581" w:rsidR="00816D2D" w:rsidRPr="00E0497A" w:rsidRDefault="00816D2D" w:rsidP="00816D2D">
            <w:pPr>
              <w:pStyle w:val="ListParagraph"/>
              <w:spacing w:after="0" w:line="240" w:lineRule="auto"/>
              <w:ind w:left="467"/>
              <w:rPr>
                <w:rFonts w:ascii="Arial" w:hAnsi="Arial" w:cs="Arial"/>
                <w:sz w:val="24"/>
              </w:rPr>
            </w:pPr>
          </w:p>
        </w:tc>
        <w:tc>
          <w:tcPr>
            <w:tcW w:w="1095" w:type="dxa"/>
          </w:tcPr>
          <w:p w14:paraId="7533A001" w14:textId="3D5D470C" w:rsidR="00816D2D" w:rsidRPr="00816D2D" w:rsidRDefault="00816D2D" w:rsidP="00816D2D">
            <w:pPr>
              <w:pStyle w:val="TableParagraph"/>
              <w:ind w:left="9" w:right="237" w:hanging="4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D2D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16D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0" w:type="dxa"/>
            <w:vMerge/>
          </w:tcPr>
          <w:p w14:paraId="588E3448" w14:textId="77777777" w:rsidR="00816D2D" w:rsidRPr="00816D2D" w:rsidRDefault="00816D2D" w:rsidP="00C22736">
            <w:pPr>
              <w:pStyle w:val="TableParagraph"/>
              <w:spacing w:before="5"/>
              <w:ind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27899FA" w14:textId="77777777" w:rsidR="00816D2D" w:rsidRPr="00816D2D" w:rsidRDefault="00816D2D" w:rsidP="00C22736">
            <w:pPr>
              <w:pStyle w:val="TableParagraph"/>
              <w:spacing w:before="5"/>
              <w:ind w:hanging="4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736" w14:paraId="1E1E793D" w14:textId="77777777" w:rsidTr="00816D2D">
        <w:trPr>
          <w:trHeight w:val="393"/>
        </w:trPr>
        <w:tc>
          <w:tcPr>
            <w:tcW w:w="4145" w:type="dxa"/>
          </w:tcPr>
          <w:p w14:paraId="371EAB15" w14:textId="5CEB321F" w:rsidR="00C22736" w:rsidRPr="00816D2D" w:rsidRDefault="00816D2D" w:rsidP="00816D2D">
            <w:pPr>
              <w:pStyle w:val="TableParagraph"/>
              <w:spacing w:before="72"/>
              <w:ind w:left="107" w:right="171" w:hanging="40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JUMLAH</w:t>
            </w:r>
          </w:p>
        </w:tc>
        <w:tc>
          <w:tcPr>
            <w:tcW w:w="1095" w:type="dxa"/>
          </w:tcPr>
          <w:p w14:paraId="2E962656" w14:textId="209B843C" w:rsidR="00C22736" w:rsidRPr="00816D2D" w:rsidRDefault="00816D2D" w:rsidP="00816D2D">
            <w:pPr>
              <w:pStyle w:val="TableParagraph"/>
              <w:spacing w:before="72"/>
              <w:ind w:left="9" w:right="171" w:hanging="4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D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816D2D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14:paraId="514985B0" w14:textId="2606AEFD" w:rsidR="00C22736" w:rsidRPr="00816D2D" w:rsidRDefault="00816D2D" w:rsidP="00816D2D">
            <w:pPr>
              <w:pStyle w:val="TableParagraph"/>
              <w:spacing w:before="72"/>
              <w:ind w:left="9" w:right="171" w:hanging="4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C22736" w:rsidRPr="00816D2D">
              <w:rPr>
                <w:rFonts w:ascii="Arial" w:hAnsi="Arial" w:cs="Arial"/>
                <w:b/>
                <w:bCs/>
                <w:sz w:val="24"/>
                <w:szCs w:val="24"/>
              </w:rPr>
              <w:t>1,500</w:t>
            </w:r>
          </w:p>
        </w:tc>
        <w:tc>
          <w:tcPr>
            <w:tcW w:w="1170" w:type="dxa"/>
          </w:tcPr>
          <w:p w14:paraId="0C9A7F9E" w14:textId="0155E5B1" w:rsidR="00C22736" w:rsidRPr="00816D2D" w:rsidRDefault="00816D2D" w:rsidP="00816D2D">
            <w:pPr>
              <w:pStyle w:val="TableParagraph"/>
              <w:spacing w:before="72"/>
              <w:ind w:left="9" w:right="171" w:hanging="40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15,000</w:t>
            </w:r>
          </w:p>
        </w:tc>
      </w:tr>
    </w:tbl>
    <w:p w14:paraId="121DCC6A" w14:textId="77777777" w:rsidR="00C22736" w:rsidRDefault="00C22736" w:rsidP="00C22736">
      <w:pPr>
        <w:spacing w:line="360" w:lineRule="auto"/>
        <w:ind w:hanging="409"/>
        <w:jc w:val="both"/>
      </w:pPr>
      <w:r>
        <w:t xml:space="preserve"> </w:t>
      </w:r>
    </w:p>
    <w:p w14:paraId="1C37BB47" w14:textId="77777777" w:rsidR="00C22736" w:rsidRPr="002D1D7F" w:rsidRDefault="00C22736" w:rsidP="00C22736">
      <w:pPr>
        <w:spacing w:line="360" w:lineRule="auto"/>
        <w:jc w:val="both"/>
        <w:rPr>
          <w:rFonts w:cstheme="minorHAnsi"/>
          <w:b/>
          <w:bCs/>
        </w:rPr>
      </w:pPr>
      <w:r w:rsidRPr="00116144">
        <w:rPr>
          <w:b/>
          <w:bCs/>
        </w:rPr>
        <w:t xml:space="preserve"> </w:t>
      </w:r>
    </w:p>
    <w:p w14:paraId="2118522F" w14:textId="77777777" w:rsidR="00C22736" w:rsidRDefault="00C22736" w:rsidP="00C22736">
      <w:pPr>
        <w:spacing w:line="360" w:lineRule="auto"/>
        <w:jc w:val="both"/>
        <w:rPr>
          <w:rFonts w:cstheme="minorHAnsi"/>
          <w:b/>
          <w:bCs/>
        </w:rPr>
      </w:pPr>
      <w:r w:rsidRPr="002D1D7F">
        <w:rPr>
          <w:rFonts w:cstheme="minorHAnsi"/>
          <w:b/>
          <w:bCs/>
        </w:rPr>
        <w:t xml:space="preserve"> </w:t>
      </w:r>
    </w:p>
    <w:p w14:paraId="3D15A22D" w14:textId="77777777" w:rsidR="00C22736" w:rsidRDefault="00C22736" w:rsidP="00C22736">
      <w:pPr>
        <w:spacing w:line="360" w:lineRule="auto"/>
        <w:jc w:val="both"/>
        <w:rPr>
          <w:rFonts w:cstheme="minorHAnsi"/>
          <w:b/>
          <w:bCs/>
        </w:rPr>
      </w:pPr>
    </w:p>
    <w:p w14:paraId="01FB6EAB" w14:textId="77777777" w:rsidR="00C22736" w:rsidRDefault="00C22736" w:rsidP="00C22736">
      <w:pPr>
        <w:spacing w:line="360" w:lineRule="auto"/>
        <w:jc w:val="both"/>
        <w:rPr>
          <w:rFonts w:cstheme="minorHAnsi"/>
          <w:b/>
          <w:bCs/>
        </w:rPr>
      </w:pPr>
    </w:p>
    <w:p w14:paraId="25D15331" w14:textId="77777777" w:rsidR="00C22736" w:rsidRDefault="00C22736" w:rsidP="00C22736">
      <w:pPr>
        <w:spacing w:line="360" w:lineRule="auto"/>
        <w:jc w:val="both"/>
        <w:rPr>
          <w:rFonts w:cstheme="minorHAnsi"/>
          <w:b/>
          <w:bCs/>
        </w:rPr>
      </w:pPr>
    </w:p>
    <w:p w14:paraId="6A7133B3" w14:textId="77777777" w:rsidR="00C22736" w:rsidRDefault="00C22736" w:rsidP="00C22736">
      <w:pPr>
        <w:spacing w:line="360" w:lineRule="auto"/>
        <w:jc w:val="both"/>
        <w:rPr>
          <w:rFonts w:cstheme="minorHAnsi"/>
          <w:b/>
          <w:bCs/>
        </w:rPr>
      </w:pPr>
    </w:p>
    <w:p w14:paraId="13D95403" w14:textId="77777777" w:rsidR="00C22736" w:rsidRDefault="00C22736" w:rsidP="00C22736">
      <w:pPr>
        <w:spacing w:line="360" w:lineRule="auto"/>
        <w:jc w:val="both"/>
        <w:rPr>
          <w:rFonts w:cstheme="minorHAnsi"/>
          <w:b/>
          <w:bCs/>
        </w:rPr>
      </w:pPr>
    </w:p>
    <w:p w14:paraId="1378C5D8" w14:textId="77777777" w:rsidR="00C22736" w:rsidRDefault="00C22736" w:rsidP="00C22736">
      <w:pPr>
        <w:spacing w:line="360" w:lineRule="auto"/>
        <w:jc w:val="both"/>
        <w:rPr>
          <w:rFonts w:cstheme="minorHAnsi"/>
          <w:b/>
          <w:bCs/>
        </w:rPr>
      </w:pPr>
    </w:p>
    <w:p w14:paraId="5639061B" w14:textId="1AE6B70A" w:rsidR="005F4006" w:rsidRPr="00AD2FB5" w:rsidRDefault="00816D2D" w:rsidP="00AD2FB5">
      <w:pPr>
        <w:shd w:val="clear" w:color="auto" w:fill="FFFFFF"/>
        <w:spacing w:before="150" w:after="15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25A3F" w:rsidRPr="00DC7DFB">
        <w:rPr>
          <w:rFonts w:ascii="Arial" w:hAnsi="Arial" w:cs="Arial"/>
          <w:b/>
          <w:sz w:val="24"/>
          <w:szCs w:val="24"/>
        </w:rPr>
        <w:t>.0</w:t>
      </w:r>
      <w:r w:rsidR="00A25A3F" w:rsidRPr="00DC7DFB">
        <w:rPr>
          <w:rFonts w:ascii="Arial" w:hAnsi="Arial" w:cs="Arial"/>
          <w:b/>
          <w:sz w:val="24"/>
          <w:szCs w:val="24"/>
        </w:rPr>
        <w:tab/>
      </w:r>
      <w:proofErr w:type="spellStart"/>
      <w:r w:rsidR="00133928">
        <w:rPr>
          <w:rFonts w:ascii="Arial" w:hAnsi="Arial" w:cs="Arial"/>
          <w:b/>
          <w:sz w:val="24"/>
          <w:szCs w:val="24"/>
        </w:rPr>
        <w:t>Hak</w:t>
      </w:r>
      <w:proofErr w:type="spellEnd"/>
      <w:r w:rsidR="0013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3928">
        <w:rPr>
          <w:rFonts w:ascii="Arial" w:hAnsi="Arial" w:cs="Arial"/>
          <w:b/>
          <w:sz w:val="24"/>
          <w:szCs w:val="24"/>
        </w:rPr>
        <w:t>Eks</w:t>
      </w:r>
      <w:r w:rsidR="00AD2FB5">
        <w:rPr>
          <w:rFonts w:ascii="Arial" w:hAnsi="Arial" w:cs="Arial"/>
          <w:b/>
          <w:sz w:val="24"/>
          <w:szCs w:val="24"/>
        </w:rPr>
        <w:t>k</w:t>
      </w:r>
      <w:r w:rsidR="00133928">
        <w:rPr>
          <w:rFonts w:ascii="Arial" w:hAnsi="Arial" w:cs="Arial"/>
          <w:b/>
          <w:sz w:val="24"/>
          <w:szCs w:val="24"/>
        </w:rPr>
        <w:t>lusif</w:t>
      </w:r>
      <w:proofErr w:type="spellEnd"/>
      <w:r w:rsidR="00133928">
        <w:rPr>
          <w:rFonts w:ascii="Arial" w:hAnsi="Arial" w:cs="Arial"/>
          <w:b/>
          <w:sz w:val="24"/>
          <w:szCs w:val="24"/>
        </w:rPr>
        <w:t xml:space="preserve"> MPC</w:t>
      </w:r>
    </w:p>
    <w:p w14:paraId="4990FCD9" w14:textId="35D24EB8" w:rsidR="005F4006" w:rsidRPr="005F4006" w:rsidRDefault="005F4006" w:rsidP="00AD2FB5">
      <w:pPr>
        <w:pStyle w:val="ListParagraph"/>
        <w:numPr>
          <w:ilvl w:val="0"/>
          <w:numId w:val="7"/>
        </w:numPr>
        <w:spacing w:after="200" w:line="240" w:lineRule="auto"/>
        <w:ind w:left="1080"/>
        <w:contextualSpacing w:val="0"/>
        <w:jc w:val="both"/>
        <w:rPr>
          <w:rFonts w:ascii="Arial" w:hAnsi="Arial" w:cs="Arial"/>
          <w:sz w:val="24"/>
          <w:lang w:val="ms-MY"/>
        </w:rPr>
      </w:pPr>
      <w:r w:rsidRPr="005F4006">
        <w:rPr>
          <w:rFonts w:ascii="Arial" w:hAnsi="Arial" w:cs="Arial"/>
          <w:sz w:val="24"/>
          <w:lang w:val="ms-MY"/>
        </w:rPr>
        <w:t xml:space="preserve">MPC mempunyai hak </w:t>
      </w:r>
      <w:r w:rsidR="00133928">
        <w:rPr>
          <w:rFonts w:ascii="Arial" w:hAnsi="Arial" w:cs="Arial"/>
          <w:sz w:val="24"/>
          <w:lang w:val="ms-MY"/>
        </w:rPr>
        <w:t>mutlak un</w:t>
      </w:r>
      <w:r w:rsidRPr="005F4006">
        <w:rPr>
          <w:rFonts w:ascii="Arial" w:hAnsi="Arial" w:cs="Arial"/>
          <w:sz w:val="24"/>
          <w:lang w:val="ms-MY"/>
        </w:rPr>
        <w:t xml:space="preserve">tuk </w:t>
      </w:r>
      <w:r w:rsidR="009B3A36">
        <w:rPr>
          <w:rFonts w:ascii="Arial" w:hAnsi="Arial" w:cs="Arial"/>
          <w:sz w:val="24"/>
          <w:lang w:val="ms-MY"/>
        </w:rPr>
        <w:t xml:space="preserve">laporan yang disediakan </w:t>
      </w:r>
      <w:r w:rsidR="00133928">
        <w:rPr>
          <w:rFonts w:ascii="Arial" w:hAnsi="Arial" w:cs="Arial"/>
          <w:sz w:val="24"/>
          <w:lang w:val="ms-MY"/>
        </w:rPr>
        <w:t xml:space="preserve">termasuk </w:t>
      </w:r>
      <w:r w:rsidRPr="005F4006">
        <w:rPr>
          <w:rFonts w:ascii="Arial" w:hAnsi="Arial" w:cs="Arial"/>
          <w:sz w:val="24"/>
          <w:lang w:val="ms-MY"/>
        </w:rPr>
        <w:t>penerbitan, skrip dan sebarang gambar yang relevan.</w:t>
      </w:r>
    </w:p>
    <w:p w14:paraId="06F63FFB" w14:textId="74020177" w:rsidR="005F4006" w:rsidRPr="00133928" w:rsidRDefault="005F4006" w:rsidP="00AD2FB5">
      <w:pPr>
        <w:pStyle w:val="ListParagraph"/>
        <w:numPr>
          <w:ilvl w:val="0"/>
          <w:numId w:val="7"/>
        </w:numPr>
        <w:spacing w:after="200" w:line="240" w:lineRule="auto"/>
        <w:ind w:left="1080"/>
        <w:contextualSpacing w:val="0"/>
        <w:jc w:val="both"/>
        <w:rPr>
          <w:rFonts w:ascii="Arial" w:hAnsi="Arial" w:cs="Arial"/>
          <w:sz w:val="24"/>
          <w:lang w:val="ms-MY"/>
        </w:rPr>
      </w:pPr>
      <w:r w:rsidRPr="00133928">
        <w:rPr>
          <w:rFonts w:ascii="Arial" w:hAnsi="Arial" w:cs="Arial"/>
          <w:sz w:val="24"/>
          <w:lang w:val="ms-MY"/>
        </w:rPr>
        <w:t xml:space="preserve">Tidak ada bahagian dari </w:t>
      </w:r>
      <w:r w:rsidR="009B3A36">
        <w:rPr>
          <w:rFonts w:ascii="Arial" w:hAnsi="Arial" w:cs="Arial"/>
          <w:sz w:val="24"/>
          <w:lang w:val="ms-MY"/>
        </w:rPr>
        <w:t xml:space="preserve">laporan </w:t>
      </w:r>
      <w:r w:rsidRPr="00133928">
        <w:rPr>
          <w:rFonts w:ascii="Arial" w:hAnsi="Arial" w:cs="Arial"/>
          <w:sz w:val="24"/>
          <w:lang w:val="ms-MY"/>
        </w:rPr>
        <w:t>ini yang dapat diperbanyak, disimpan dalam sistem pengambilan atau dihantar dalam bentuk apa pun atau cara elektronik, mekanikal, fotokopi, rakaman atau sebaliknya, tanpa kebenaran bertulis daripada MPC terlebih dahulu.</w:t>
      </w:r>
    </w:p>
    <w:p w14:paraId="382217D6" w14:textId="350855DF" w:rsidR="005F4006" w:rsidRPr="00133928" w:rsidRDefault="00133928" w:rsidP="00AD2FB5">
      <w:pPr>
        <w:pStyle w:val="ListParagraph"/>
        <w:numPr>
          <w:ilvl w:val="0"/>
          <w:numId w:val="7"/>
        </w:numPr>
        <w:spacing w:after="200" w:line="240" w:lineRule="auto"/>
        <w:ind w:left="1080"/>
        <w:contextualSpacing w:val="0"/>
        <w:jc w:val="both"/>
        <w:rPr>
          <w:rFonts w:ascii="Arial" w:hAnsi="Arial" w:cs="Arial"/>
          <w:sz w:val="24"/>
          <w:lang w:val="ms-MY"/>
        </w:rPr>
      </w:pPr>
      <w:r>
        <w:rPr>
          <w:rFonts w:ascii="Arial" w:hAnsi="Arial" w:cs="Arial"/>
          <w:sz w:val="24"/>
          <w:lang w:val="ms-MY"/>
        </w:rPr>
        <w:t xml:space="preserve">Tenaga pakar </w:t>
      </w:r>
      <w:r w:rsidR="005F4006" w:rsidRPr="00133928">
        <w:rPr>
          <w:rFonts w:ascii="Arial" w:hAnsi="Arial" w:cs="Arial"/>
          <w:sz w:val="24"/>
          <w:lang w:val="ms-MY"/>
        </w:rPr>
        <w:t>atau organisasi mereka bersetuju bahawa nama mereka tidak akan disiarkan dalam</w:t>
      </w:r>
      <w:r>
        <w:rPr>
          <w:rFonts w:ascii="Arial" w:hAnsi="Arial" w:cs="Arial"/>
          <w:sz w:val="24"/>
          <w:lang w:val="ms-MY"/>
        </w:rPr>
        <w:t xml:space="preserve"> laporan </w:t>
      </w:r>
      <w:r w:rsidR="005F4006" w:rsidRPr="00133928">
        <w:rPr>
          <w:rFonts w:ascii="Arial" w:hAnsi="Arial" w:cs="Arial"/>
          <w:sz w:val="24"/>
          <w:lang w:val="ms-MY"/>
        </w:rPr>
        <w:t>ini.</w:t>
      </w:r>
    </w:p>
    <w:p w14:paraId="3B703004" w14:textId="58345C02" w:rsidR="00133928" w:rsidRDefault="005F4006" w:rsidP="00AD2FB5">
      <w:pPr>
        <w:pStyle w:val="ListParagraph"/>
        <w:numPr>
          <w:ilvl w:val="0"/>
          <w:numId w:val="7"/>
        </w:numPr>
        <w:spacing w:after="200" w:line="240" w:lineRule="auto"/>
        <w:ind w:left="1080"/>
        <w:contextualSpacing w:val="0"/>
        <w:jc w:val="both"/>
        <w:rPr>
          <w:rFonts w:ascii="Arial" w:hAnsi="Arial" w:cs="Arial"/>
          <w:sz w:val="24"/>
          <w:lang w:val="ms-MY"/>
        </w:rPr>
      </w:pPr>
      <w:r w:rsidRPr="00133928">
        <w:rPr>
          <w:rFonts w:ascii="Arial" w:hAnsi="Arial" w:cs="Arial"/>
          <w:sz w:val="24"/>
          <w:lang w:val="ms-MY"/>
        </w:rPr>
        <w:lastRenderedPageBreak/>
        <w:t xml:space="preserve">Menjadi tugas </w:t>
      </w:r>
      <w:r w:rsidR="00133928">
        <w:rPr>
          <w:rFonts w:ascii="Arial" w:hAnsi="Arial" w:cs="Arial"/>
          <w:sz w:val="24"/>
          <w:lang w:val="ms-MY"/>
        </w:rPr>
        <w:t xml:space="preserve">tenaga pakar </w:t>
      </w:r>
      <w:r w:rsidRPr="00133928">
        <w:rPr>
          <w:rFonts w:ascii="Arial" w:hAnsi="Arial" w:cs="Arial"/>
          <w:sz w:val="24"/>
          <w:lang w:val="ms-MY"/>
        </w:rPr>
        <w:t xml:space="preserve">untuk berkomunikasi dengan organisasi/ industri untuk mendapatkan maklumat yang diperlukan </w:t>
      </w:r>
      <w:r w:rsidR="00133928">
        <w:rPr>
          <w:rFonts w:ascii="Arial" w:hAnsi="Arial" w:cs="Arial"/>
          <w:sz w:val="24"/>
          <w:lang w:val="ms-MY"/>
        </w:rPr>
        <w:t xml:space="preserve">untuk tujuan </w:t>
      </w:r>
      <w:r w:rsidR="009B3A36">
        <w:rPr>
          <w:rFonts w:ascii="Arial" w:hAnsi="Arial" w:cs="Arial"/>
          <w:sz w:val="24"/>
          <w:lang w:val="ms-MY"/>
        </w:rPr>
        <w:t xml:space="preserve">laporan </w:t>
      </w:r>
      <w:r w:rsidR="00133928">
        <w:rPr>
          <w:rFonts w:ascii="Arial" w:hAnsi="Arial" w:cs="Arial"/>
          <w:sz w:val="24"/>
          <w:lang w:val="ms-MY"/>
        </w:rPr>
        <w:t>ini menggunakan kaedah/medium yang berses</w:t>
      </w:r>
      <w:r w:rsidR="009B3A36">
        <w:rPr>
          <w:rFonts w:ascii="Arial" w:hAnsi="Arial" w:cs="Arial"/>
          <w:sz w:val="24"/>
          <w:lang w:val="ms-MY"/>
        </w:rPr>
        <w:t>u</w:t>
      </w:r>
      <w:r w:rsidR="00133928">
        <w:rPr>
          <w:rFonts w:ascii="Arial" w:hAnsi="Arial" w:cs="Arial"/>
          <w:sz w:val="24"/>
          <w:lang w:val="ms-MY"/>
        </w:rPr>
        <w:t>aian</w:t>
      </w:r>
    </w:p>
    <w:p w14:paraId="7A98E292" w14:textId="21F8B97E" w:rsidR="005F4006" w:rsidRPr="00133928" w:rsidRDefault="005F4006" w:rsidP="00AD2FB5">
      <w:pPr>
        <w:pStyle w:val="ListParagraph"/>
        <w:numPr>
          <w:ilvl w:val="0"/>
          <w:numId w:val="7"/>
        </w:numPr>
        <w:spacing w:after="200" w:line="240" w:lineRule="auto"/>
        <w:ind w:left="1080"/>
        <w:contextualSpacing w:val="0"/>
        <w:jc w:val="both"/>
        <w:rPr>
          <w:rFonts w:ascii="Arial" w:hAnsi="Arial" w:cs="Arial"/>
          <w:sz w:val="24"/>
        </w:rPr>
      </w:pPr>
      <w:r w:rsidRPr="005F4006">
        <w:rPr>
          <w:rFonts w:ascii="Arial" w:hAnsi="Arial" w:cs="Arial"/>
          <w:sz w:val="24"/>
          <w:lang w:val="ms-MY"/>
        </w:rPr>
        <w:t>Semua teks bertulis mestilah asli dan tidak diterbitkan sebelumnya. Sebarang penulisan yang telah diciplak akan ditolak</w:t>
      </w:r>
      <w:r w:rsidR="00133928">
        <w:rPr>
          <w:rFonts w:ascii="Arial" w:hAnsi="Arial" w:cs="Arial"/>
          <w:sz w:val="24"/>
          <w:lang w:val="ms-MY"/>
        </w:rPr>
        <w:t>.</w:t>
      </w:r>
    </w:p>
    <w:p w14:paraId="065F890F" w14:textId="77777777" w:rsidR="00A25A3F" w:rsidRPr="00066291" w:rsidRDefault="00A25A3F" w:rsidP="00A25A3F">
      <w:pPr>
        <w:rPr>
          <w:rFonts w:ascii="Arial" w:hAnsi="Arial" w:cs="Arial"/>
          <w:sz w:val="24"/>
          <w:szCs w:val="24"/>
        </w:rPr>
      </w:pPr>
    </w:p>
    <w:p w14:paraId="3787C8CF" w14:textId="77777777" w:rsidR="007C3F90" w:rsidRDefault="007C3F90" w:rsidP="00AD7DE9">
      <w:pPr>
        <w:rPr>
          <w:rFonts w:ascii="Arial" w:hAnsi="Arial" w:cs="Arial"/>
          <w:sz w:val="30"/>
          <w:szCs w:val="30"/>
          <w:shd w:val="clear" w:color="auto" w:fill="FFFFFF"/>
        </w:rPr>
        <w:sectPr w:rsidR="007C3F90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bookmarkStart w:id="1" w:name="_GoBack"/>
      <w:bookmarkEnd w:id="1"/>
    </w:p>
    <w:p w14:paraId="0CC19D23" w14:textId="77777777" w:rsidR="00AD7DE9" w:rsidRPr="00AD7DE9" w:rsidRDefault="00AD7DE9" w:rsidP="00816D2D">
      <w:pPr>
        <w:jc w:val="right"/>
        <w:rPr>
          <w:rFonts w:ascii="Arial" w:hAnsi="Arial" w:cs="Arial"/>
          <w:sz w:val="28"/>
          <w:szCs w:val="28"/>
        </w:rPr>
      </w:pPr>
    </w:p>
    <w:sectPr w:rsidR="00AD7DE9" w:rsidRPr="00AD7DE9" w:rsidSect="007C3F9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D379B" w14:textId="77777777" w:rsidR="00DE4023" w:rsidRDefault="00DE4023" w:rsidP="0042559E">
      <w:pPr>
        <w:spacing w:after="0" w:line="240" w:lineRule="auto"/>
      </w:pPr>
      <w:r>
        <w:separator/>
      </w:r>
    </w:p>
  </w:endnote>
  <w:endnote w:type="continuationSeparator" w:id="0">
    <w:p w14:paraId="32B1A485" w14:textId="77777777" w:rsidR="00DE4023" w:rsidRDefault="00DE4023" w:rsidP="0042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760CA" w14:textId="77777777" w:rsidR="00DE4023" w:rsidRDefault="00DE4023" w:rsidP="0042559E">
      <w:pPr>
        <w:spacing w:after="0" w:line="240" w:lineRule="auto"/>
      </w:pPr>
      <w:r>
        <w:separator/>
      </w:r>
    </w:p>
  </w:footnote>
  <w:footnote w:type="continuationSeparator" w:id="0">
    <w:p w14:paraId="4A91048D" w14:textId="77777777" w:rsidR="00DE4023" w:rsidRDefault="00DE4023" w:rsidP="0042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71FA0" w14:textId="4A252B33" w:rsidR="0042559E" w:rsidRPr="0042559E" w:rsidRDefault="0042559E" w:rsidP="0042559E">
    <w:pPr>
      <w:pStyle w:val="Header"/>
      <w:jc w:val="right"/>
      <w:rPr>
        <w:i/>
        <w:iCs/>
        <w:color w:val="FF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0672E"/>
    <w:multiLevelType w:val="hybridMultilevel"/>
    <w:tmpl w:val="DDEE9F00"/>
    <w:lvl w:ilvl="0" w:tplc="67744D9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3A035FC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8428600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877034B6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7D9E82D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7F8CC66A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8B629812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7A28C460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418C0D3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28E47622"/>
    <w:multiLevelType w:val="hybridMultilevel"/>
    <w:tmpl w:val="5998B492"/>
    <w:lvl w:ilvl="0" w:tplc="740EA50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E8C6996"/>
    <w:multiLevelType w:val="hybridMultilevel"/>
    <w:tmpl w:val="C5FE25A6"/>
    <w:lvl w:ilvl="0" w:tplc="4EF2F7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F2274"/>
    <w:multiLevelType w:val="hybridMultilevel"/>
    <w:tmpl w:val="DDEE9F00"/>
    <w:lvl w:ilvl="0" w:tplc="67744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35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860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703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E82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CC6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29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8C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8C0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05A39"/>
    <w:multiLevelType w:val="hybridMultilevel"/>
    <w:tmpl w:val="00C8644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10A5C"/>
    <w:multiLevelType w:val="hybridMultilevel"/>
    <w:tmpl w:val="5998B492"/>
    <w:lvl w:ilvl="0" w:tplc="740EA50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57FB7417"/>
    <w:multiLevelType w:val="hybridMultilevel"/>
    <w:tmpl w:val="A66643FC"/>
    <w:lvl w:ilvl="0" w:tplc="71148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35B5F"/>
    <w:multiLevelType w:val="hybridMultilevel"/>
    <w:tmpl w:val="87F67D78"/>
    <w:lvl w:ilvl="0" w:tplc="67744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30B41"/>
    <w:multiLevelType w:val="multilevel"/>
    <w:tmpl w:val="B0183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EC229DE"/>
    <w:multiLevelType w:val="hybridMultilevel"/>
    <w:tmpl w:val="FA2E764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9E"/>
    <w:rsid w:val="00003AC3"/>
    <w:rsid w:val="000807A7"/>
    <w:rsid w:val="000B2EFD"/>
    <w:rsid w:val="000B6713"/>
    <w:rsid w:val="00100D86"/>
    <w:rsid w:val="001149E7"/>
    <w:rsid w:val="00133928"/>
    <w:rsid w:val="001711B8"/>
    <w:rsid w:val="0017299D"/>
    <w:rsid w:val="001742CA"/>
    <w:rsid w:val="001F7AF6"/>
    <w:rsid w:val="00247586"/>
    <w:rsid w:val="0027203E"/>
    <w:rsid w:val="00282BA4"/>
    <w:rsid w:val="00286159"/>
    <w:rsid w:val="002A287C"/>
    <w:rsid w:val="002D7704"/>
    <w:rsid w:val="002E2419"/>
    <w:rsid w:val="0032237A"/>
    <w:rsid w:val="0034154D"/>
    <w:rsid w:val="003644A7"/>
    <w:rsid w:val="003F74C8"/>
    <w:rsid w:val="00416C5E"/>
    <w:rsid w:val="0042559E"/>
    <w:rsid w:val="004A30A6"/>
    <w:rsid w:val="004F470B"/>
    <w:rsid w:val="00530DA0"/>
    <w:rsid w:val="00553BB2"/>
    <w:rsid w:val="00563C48"/>
    <w:rsid w:val="00581BF2"/>
    <w:rsid w:val="00582337"/>
    <w:rsid w:val="005F4006"/>
    <w:rsid w:val="00625A32"/>
    <w:rsid w:val="006465C0"/>
    <w:rsid w:val="00681E3A"/>
    <w:rsid w:val="006A6B93"/>
    <w:rsid w:val="006B5790"/>
    <w:rsid w:val="007409B2"/>
    <w:rsid w:val="007A3671"/>
    <w:rsid w:val="007C3F90"/>
    <w:rsid w:val="007E2DBA"/>
    <w:rsid w:val="007F58BF"/>
    <w:rsid w:val="00816D2D"/>
    <w:rsid w:val="008319E2"/>
    <w:rsid w:val="008409A3"/>
    <w:rsid w:val="008479DC"/>
    <w:rsid w:val="0089626D"/>
    <w:rsid w:val="008A68C6"/>
    <w:rsid w:val="008B5345"/>
    <w:rsid w:val="008F2D1B"/>
    <w:rsid w:val="008F7C68"/>
    <w:rsid w:val="00986D0A"/>
    <w:rsid w:val="009B3A36"/>
    <w:rsid w:val="009C6103"/>
    <w:rsid w:val="00A25A3F"/>
    <w:rsid w:val="00A27118"/>
    <w:rsid w:val="00A31463"/>
    <w:rsid w:val="00A54B11"/>
    <w:rsid w:val="00AD2FB5"/>
    <w:rsid w:val="00AD7DE9"/>
    <w:rsid w:val="00B84C5F"/>
    <w:rsid w:val="00C073EF"/>
    <w:rsid w:val="00C120ED"/>
    <w:rsid w:val="00C22736"/>
    <w:rsid w:val="00C463C3"/>
    <w:rsid w:val="00C636E5"/>
    <w:rsid w:val="00C97103"/>
    <w:rsid w:val="00CC47DA"/>
    <w:rsid w:val="00CF0516"/>
    <w:rsid w:val="00CF7CDB"/>
    <w:rsid w:val="00D14623"/>
    <w:rsid w:val="00DE4023"/>
    <w:rsid w:val="00DE75E0"/>
    <w:rsid w:val="00E141B6"/>
    <w:rsid w:val="00E2710A"/>
    <w:rsid w:val="00E55ABA"/>
    <w:rsid w:val="00EE3240"/>
    <w:rsid w:val="00EF1D1B"/>
    <w:rsid w:val="00F14E08"/>
    <w:rsid w:val="00F47DD5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273F"/>
  <w15:chartTrackingRefBased/>
  <w15:docId w15:val="{4C54FAD3-2C09-4AC3-B3FE-BCDA458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5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59E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425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9E"/>
  </w:style>
  <w:style w:type="paragraph" w:styleId="Footer">
    <w:name w:val="footer"/>
    <w:basedOn w:val="Normal"/>
    <w:link w:val="FooterChar"/>
    <w:uiPriority w:val="99"/>
    <w:unhideWhenUsed/>
    <w:rsid w:val="00425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9E"/>
  </w:style>
  <w:style w:type="paragraph" w:styleId="BalloonText">
    <w:name w:val="Balloon Text"/>
    <w:basedOn w:val="Normal"/>
    <w:link w:val="BalloonTextChar"/>
    <w:uiPriority w:val="99"/>
    <w:semiHidden/>
    <w:unhideWhenUsed/>
    <w:rsid w:val="00F1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F7CD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30DA0"/>
    <w:rPr>
      <w:i/>
      <w:iCs/>
    </w:rPr>
  </w:style>
  <w:style w:type="table" w:styleId="TableGrid">
    <w:name w:val="Table Grid"/>
    <w:basedOn w:val="TableNormal"/>
    <w:uiPriority w:val="59"/>
    <w:rsid w:val="002A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Default">
    <w:name w:val="Default"/>
    <w:rsid w:val="003223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3671"/>
    <w:pPr>
      <w:spacing w:after="0" w:line="240" w:lineRule="auto"/>
    </w:pPr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3671"/>
    <w:rPr>
      <w:rFonts w:ascii="Helvetica" w:hAnsi="Helvetica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25A3F"/>
  </w:style>
  <w:style w:type="paragraph" w:styleId="BodyText">
    <w:name w:val="Body Text"/>
    <w:basedOn w:val="Normal"/>
    <w:link w:val="BodyTextChar"/>
    <w:uiPriority w:val="1"/>
    <w:qFormat/>
    <w:rsid w:val="00C22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C22736"/>
    <w:rPr>
      <w:rFonts w:ascii="Calibri" w:eastAsia="Calibri" w:hAnsi="Calibri" w:cs="Calibri"/>
      <w:lang w:val="ms"/>
    </w:rPr>
  </w:style>
  <w:style w:type="paragraph" w:customStyle="1" w:styleId="TableParagraph">
    <w:name w:val="Table Paragraph"/>
    <w:basedOn w:val="Normal"/>
    <w:uiPriority w:val="1"/>
    <w:qFormat/>
    <w:rsid w:val="00C227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3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3635-8EB9-4B56-BA6D-5756D12C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Zulkifly Che Mohd Rawawi</dc:creator>
  <cp:keywords/>
  <dc:description/>
  <cp:lastModifiedBy>Norliza Ahmad</cp:lastModifiedBy>
  <cp:revision>3</cp:revision>
  <dcterms:created xsi:type="dcterms:W3CDTF">2020-12-03T00:06:00Z</dcterms:created>
  <dcterms:modified xsi:type="dcterms:W3CDTF">2020-12-03T00:34:00Z</dcterms:modified>
</cp:coreProperties>
</file>