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245F84F2" w:rsidR="006E7C79"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7F7C08C2" w14:textId="77777777" w:rsidR="004A2790" w:rsidRPr="00A00903" w:rsidRDefault="004A2790" w:rsidP="005C4AA4">
      <w:pPr>
        <w:spacing w:line="276" w:lineRule="auto"/>
        <w:jc w:val="center"/>
        <w:rPr>
          <w:rFonts w:ascii="Arial" w:hAnsi="Arial" w:cs="Arial"/>
          <w:b/>
          <w:lang w:val="en-MY"/>
        </w:rPr>
      </w:pPr>
    </w:p>
    <w:p w14:paraId="381FD833" w14:textId="77777777" w:rsidR="00352DDC" w:rsidRDefault="00774F7D" w:rsidP="0096191F">
      <w:pPr>
        <w:autoSpaceDE w:val="0"/>
        <w:autoSpaceDN w:val="0"/>
        <w:adjustRightInd w:val="0"/>
        <w:spacing w:line="276" w:lineRule="auto"/>
        <w:jc w:val="center"/>
        <w:rPr>
          <w:rFonts w:ascii="Arial" w:hAnsi="Arial" w:cs="Arial"/>
          <w:b/>
          <w:sz w:val="22"/>
          <w:szCs w:val="22"/>
        </w:rPr>
      </w:pPr>
      <w:r w:rsidRPr="00774F7D">
        <w:rPr>
          <w:rFonts w:ascii="Arial" w:hAnsi="Arial" w:cs="Arial"/>
          <w:b/>
          <w:sz w:val="22"/>
          <w:szCs w:val="22"/>
        </w:rPr>
        <w:t xml:space="preserve">APPOINTMENT AS A TECHNICAL EXPERT FOR PSPN PROMOTIONAL ARRANGEMENT OF MOU SIGNING CEREMONY BETWEEN MPC AND </w:t>
      </w:r>
    </w:p>
    <w:p w14:paraId="153085DE" w14:textId="00C59CDF" w:rsidR="004A2790" w:rsidRDefault="00352DDC" w:rsidP="0096191F">
      <w:pPr>
        <w:autoSpaceDE w:val="0"/>
        <w:autoSpaceDN w:val="0"/>
        <w:adjustRightInd w:val="0"/>
        <w:spacing w:line="276" w:lineRule="auto"/>
        <w:jc w:val="center"/>
        <w:rPr>
          <w:rFonts w:ascii="Arial" w:hAnsi="Arial" w:cs="Arial"/>
          <w:b/>
          <w:sz w:val="22"/>
          <w:szCs w:val="22"/>
        </w:rPr>
      </w:pPr>
      <w:r w:rsidRPr="00352DDC">
        <w:rPr>
          <w:rFonts w:ascii="Arial" w:hAnsi="Arial" w:cs="Arial"/>
          <w:b/>
          <w:sz w:val="22"/>
          <w:szCs w:val="22"/>
        </w:rPr>
        <w:t xml:space="preserve">THE INSTITUTION OF ENGINEERS MALAYSIA TRAINING CENTRE (IEM-TC) </w:t>
      </w:r>
      <w:r w:rsidR="004A2790">
        <w:rPr>
          <w:rFonts w:ascii="Arial" w:hAnsi="Arial" w:cs="Arial"/>
          <w:b/>
          <w:sz w:val="22"/>
          <w:szCs w:val="22"/>
        </w:rPr>
        <w:t>NOVEMBER – DECEMBER 2020</w:t>
      </w: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w:t>
      </w:r>
      <w:proofErr w:type="spellStart"/>
      <w:r w:rsidR="005C4AA4" w:rsidRPr="005C4AA4">
        <w:rPr>
          <w:rFonts w:ascii="Arial" w:eastAsiaTheme="minorHAnsi" w:hAnsi="Arial" w:cs="Arial"/>
          <w:color w:val="000000"/>
          <w:lang w:val="en-MY"/>
        </w:rPr>
        <w:t>Kok</w:t>
      </w:r>
      <w:proofErr w:type="spellEnd"/>
      <w:r w:rsidR="005C4AA4" w:rsidRPr="005C4AA4">
        <w:rPr>
          <w:rFonts w:ascii="Arial" w:eastAsiaTheme="minorHAnsi" w:hAnsi="Arial" w:cs="Arial"/>
          <w:color w:val="000000"/>
          <w:lang w:val="en-MY"/>
        </w:rPr>
        <w:t xml:space="preserve"> </w:t>
      </w:r>
      <w:proofErr w:type="spellStart"/>
      <w:r w:rsidR="005C4AA4" w:rsidRPr="005C4AA4">
        <w:rPr>
          <w:rFonts w:ascii="Arial" w:eastAsiaTheme="minorHAnsi" w:hAnsi="Arial" w:cs="Arial"/>
          <w:color w:val="000000"/>
          <w:lang w:val="en-MY"/>
        </w:rPr>
        <w:t>Beng</w:t>
      </w:r>
      <w:proofErr w:type="spellEnd"/>
      <w:r w:rsidR="005C4AA4" w:rsidRPr="005C4AA4">
        <w:rPr>
          <w:rFonts w:ascii="Arial" w:eastAsiaTheme="minorHAnsi" w:hAnsi="Arial" w:cs="Arial"/>
          <w:color w:val="000000"/>
          <w:lang w:val="en-MY"/>
        </w:rPr>
        <w:t xml:space="preserve">,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77777777" w:rsidR="005C4AA4" w:rsidRDefault="005C4AA4"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13C3763D" w14:textId="07BFAAEA" w:rsidR="004A2790" w:rsidRPr="004A2790" w:rsidRDefault="009900F9" w:rsidP="004A2790">
      <w:pPr>
        <w:autoSpaceDE w:val="0"/>
        <w:autoSpaceDN w:val="0"/>
        <w:adjustRightInd w:val="0"/>
        <w:spacing w:line="276" w:lineRule="auto"/>
        <w:ind w:left="709" w:hanging="709"/>
        <w:jc w:val="both"/>
        <w:rPr>
          <w:rFonts w:ascii="Arial" w:hAnsi="Arial" w:cs="Arial"/>
        </w:rPr>
      </w:pPr>
      <w:r>
        <w:rPr>
          <w:rFonts w:ascii="Arial" w:hAnsi="Arial" w:cs="Arial"/>
        </w:rPr>
        <w:t>2.1</w:t>
      </w:r>
      <w:r>
        <w:rPr>
          <w:rFonts w:ascii="Arial" w:hAnsi="Arial" w:cs="Arial"/>
        </w:rPr>
        <w:tab/>
      </w:r>
      <w:bookmarkEnd w:id="0"/>
      <w:r w:rsidR="004A2790" w:rsidRPr="004A2790">
        <w:rPr>
          <w:rFonts w:ascii="Arial" w:hAnsi="Arial" w:cs="Arial"/>
        </w:rPr>
        <w:t xml:space="preserve">In the Malaysia Productivity Blueprint (MPB), it was stipulated under Thrust 3 of Professional Services Productivity Nexus (PSPN) aiming to form cross-country professional services consortiums to increase capability to compete abroad. In view of this, The </w:t>
      </w:r>
      <w:r w:rsidR="004A2790">
        <w:rPr>
          <w:rFonts w:ascii="Arial" w:hAnsi="Arial" w:cs="Arial"/>
        </w:rPr>
        <w:t>PSPN</w:t>
      </w:r>
      <w:r w:rsidR="004A2790" w:rsidRPr="004A2790">
        <w:rPr>
          <w:rFonts w:ascii="Arial" w:hAnsi="Arial" w:cs="Arial"/>
        </w:rPr>
        <w:t xml:space="preserve"> is currently developing a Conceptual Framework for Professional Services </w:t>
      </w:r>
      <w:r w:rsidR="004A2790">
        <w:rPr>
          <w:rFonts w:ascii="Arial" w:hAnsi="Arial" w:cs="Arial"/>
        </w:rPr>
        <w:t xml:space="preserve">(PS) </w:t>
      </w:r>
      <w:r w:rsidR="004A2790" w:rsidRPr="004A2790">
        <w:rPr>
          <w:rFonts w:ascii="Arial" w:hAnsi="Arial" w:cs="Arial"/>
        </w:rPr>
        <w:t>Consortiums. Through a suitable model, companies can grow organically or may expand their businesses via various collaborative models, such as collaborations, partnerships, mergers and acquisitions or other means of growing together to increase capability to compete both domestically and abroad.</w:t>
      </w:r>
    </w:p>
    <w:p w14:paraId="4C9BC119" w14:textId="77777777" w:rsidR="004A2790" w:rsidRPr="004A2790" w:rsidRDefault="004A2790" w:rsidP="004A2790">
      <w:pPr>
        <w:autoSpaceDE w:val="0"/>
        <w:autoSpaceDN w:val="0"/>
        <w:adjustRightInd w:val="0"/>
        <w:spacing w:line="276" w:lineRule="auto"/>
        <w:ind w:left="709" w:hanging="709"/>
        <w:jc w:val="both"/>
        <w:rPr>
          <w:rFonts w:ascii="Arial" w:hAnsi="Arial" w:cs="Arial"/>
        </w:rPr>
      </w:pPr>
    </w:p>
    <w:p w14:paraId="0167A20C" w14:textId="77777777" w:rsidR="002205D0" w:rsidRDefault="004A2790" w:rsidP="004A2790">
      <w:pPr>
        <w:autoSpaceDE w:val="0"/>
        <w:autoSpaceDN w:val="0"/>
        <w:adjustRightInd w:val="0"/>
        <w:spacing w:line="276" w:lineRule="auto"/>
        <w:ind w:left="709" w:hanging="709"/>
        <w:jc w:val="both"/>
        <w:rPr>
          <w:rFonts w:ascii="Arial" w:hAnsi="Arial" w:cs="Arial"/>
        </w:rPr>
      </w:pPr>
      <w:r w:rsidRPr="004A2790">
        <w:rPr>
          <w:rFonts w:ascii="Arial" w:hAnsi="Arial" w:cs="Arial"/>
        </w:rPr>
        <w:t>2.2</w:t>
      </w:r>
      <w:r w:rsidRPr="004A2790">
        <w:rPr>
          <w:rFonts w:ascii="Arial" w:hAnsi="Arial" w:cs="Arial"/>
        </w:rPr>
        <w:tab/>
        <w:t xml:space="preserve">PSPN has come up with a framework for the professional services and engaged with all the six </w:t>
      </w:r>
      <w:r>
        <w:rPr>
          <w:rFonts w:ascii="Arial" w:hAnsi="Arial" w:cs="Arial"/>
        </w:rPr>
        <w:t xml:space="preserve">(6) </w:t>
      </w:r>
      <w:r w:rsidRPr="004A2790">
        <w:rPr>
          <w:rFonts w:ascii="Arial" w:hAnsi="Arial" w:cs="Arial"/>
        </w:rPr>
        <w:t xml:space="preserve">professional services fraternities under its purview to come up with models and guidelines, and series of webinar on awareness and mentoring sessions. </w:t>
      </w:r>
    </w:p>
    <w:p w14:paraId="1190D4ED" w14:textId="77777777" w:rsidR="002205D0" w:rsidRDefault="002205D0" w:rsidP="004A2790">
      <w:pPr>
        <w:autoSpaceDE w:val="0"/>
        <w:autoSpaceDN w:val="0"/>
        <w:adjustRightInd w:val="0"/>
        <w:spacing w:line="276" w:lineRule="auto"/>
        <w:ind w:left="709" w:hanging="709"/>
        <w:jc w:val="both"/>
        <w:rPr>
          <w:rFonts w:ascii="Arial" w:hAnsi="Arial" w:cs="Arial"/>
        </w:rPr>
      </w:pPr>
    </w:p>
    <w:p w14:paraId="0E4BCC1A" w14:textId="6BDFA5C3" w:rsidR="004A2790" w:rsidRPr="004A2790" w:rsidRDefault="002205D0" w:rsidP="004A2790">
      <w:pPr>
        <w:autoSpaceDE w:val="0"/>
        <w:autoSpaceDN w:val="0"/>
        <w:adjustRightInd w:val="0"/>
        <w:spacing w:line="276" w:lineRule="auto"/>
        <w:ind w:left="709" w:hanging="709"/>
        <w:jc w:val="both"/>
        <w:rPr>
          <w:rFonts w:ascii="Arial" w:hAnsi="Arial" w:cs="Arial"/>
        </w:rPr>
      </w:pPr>
      <w:r>
        <w:rPr>
          <w:rFonts w:ascii="Arial" w:hAnsi="Arial" w:cs="Arial"/>
        </w:rPr>
        <w:lastRenderedPageBreak/>
        <w:t>2.3</w:t>
      </w:r>
      <w:r>
        <w:rPr>
          <w:rFonts w:ascii="Arial" w:hAnsi="Arial" w:cs="Arial"/>
        </w:rPr>
        <w:tab/>
      </w:r>
      <w:r w:rsidR="004A2790" w:rsidRPr="004A2790">
        <w:rPr>
          <w:rFonts w:ascii="Arial" w:hAnsi="Arial" w:cs="Arial"/>
        </w:rPr>
        <w:t xml:space="preserve">The framework covers four (4) workstreams in propagating </w:t>
      </w:r>
      <w:r w:rsidR="004A2790">
        <w:rPr>
          <w:rFonts w:ascii="Arial" w:hAnsi="Arial" w:cs="Arial"/>
        </w:rPr>
        <w:t>PS</w:t>
      </w:r>
      <w:r w:rsidR="004A2790" w:rsidRPr="004A2790">
        <w:rPr>
          <w:rFonts w:ascii="Arial" w:hAnsi="Arial" w:cs="Arial"/>
        </w:rPr>
        <w:t xml:space="preserve"> Consortium which are: (1) create and enhance awareness, (2) provide guidance, (3) conduct experimentations and monitoring, and (4) evaluations. As for work streams 1 and 2 which are for advocating and providing guidance through various models,  PSPN has  engaged with technical experts and starting from third week of August to </w:t>
      </w:r>
      <w:r w:rsidR="004A2790">
        <w:rPr>
          <w:rFonts w:ascii="Arial" w:hAnsi="Arial" w:cs="Arial"/>
        </w:rPr>
        <w:t xml:space="preserve">mid of December </w:t>
      </w:r>
      <w:r w:rsidR="004A2790" w:rsidRPr="004A2790">
        <w:rPr>
          <w:rFonts w:ascii="Arial" w:hAnsi="Arial" w:cs="Arial"/>
        </w:rPr>
        <w:t xml:space="preserve">2020, the series of webinar on awareness and  consortium guidelines sharing  by technical experts from respective fraternity have been lined up in promoting companies and professional services providers alliances  to achieve specific objectives either to lobby for support, bidding on large business projects or increasing partners ability to acquire better deals. These are conducted with aims to strengthen the capabilities of professional services, providing real time industry insights and real-time recommendations based on collaborative models. </w:t>
      </w:r>
    </w:p>
    <w:p w14:paraId="0CE1CA21" w14:textId="77777777" w:rsidR="004A2790" w:rsidRPr="004A2790" w:rsidRDefault="004A2790" w:rsidP="004A2790">
      <w:pPr>
        <w:autoSpaceDE w:val="0"/>
        <w:autoSpaceDN w:val="0"/>
        <w:adjustRightInd w:val="0"/>
        <w:spacing w:line="276" w:lineRule="auto"/>
        <w:ind w:left="709" w:hanging="709"/>
        <w:jc w:val="both"/>
        <w:rPr>
          <w:rFonts w:ascii="Arial" w:hAnsi="Arial" w:cs="Arial"/>
        </w:rPr>
      </w:pPr>
    </w:p>
    <w:p w14:paraId="19C31EBA" w14:textId="4C1BFF19" w:rsidR="00352DDC" w:rsidRDefault="004A2790" w:rsidP="00352DDC">
      <w:pPr>
        <w:autoSpaceDE w:val="0"/>
        <w:autoSpaceDN w:val="0"/>
        <w:adjustRightInd w:val="0"/>
        <w:spacing w:line="276" w:lineRule="auto"/>
        <w:ind w:left="709" w:hanging="709"/>
        <w:jc w:val="both"/>
        <w:rPr>
          <w:rFonts w:ascii="Arial" w:hAnsi="Arial" w:cs="Arial"/>
          <w:lang w:val="en-MY" w:eastAsia="en-MY"/>
        </w:rPr>
      </w:pPr>
      <w:r w:rsidRPr="004A2790">
        <w:rPr>
          <w:rFonts w:ascii="Arial" w:hAnsi="Arial" w:cs="Arial"/>
        </w:rPr>
        <w:t>2.</w:t>
      </w:r>
      <w:r w:rsidR="002205D0">
        <w:rPr>
          <w:rFonts w:ascii="Arial" w:hAnsi="Arial" w:cs="Arial"/>
        </w:rPr>
        <w:t>4</w:t>
      </w:r>
      <w:r w:rsidRPr="004A2790">
        <w:rPr>
          <w:rFonts w:ascii="Arial" w:hAnsi="Arial" w:cs="Arial"/>
        </w:rPr>
        <w:tab/>
        <w:t xml:space="preserve">For the consortium models development, three consortium models had been developed by the architecture and engineering technical experts. Way forward, a special meeting was held between MPC and the technical experts on 30th October 2020 followed by a series of deep dive sessions. </w:t>
      </w:r>
      <w:r w:rsidR="00352DDC" w:rsidRPr="00352DDC">
        <w:rPr>
          <w:rFonts w:ascii="Arial" w:hAnsi="Arial" w:cs="Arial"/>
          <w:lang w:val="en-MY" w:eastAsia="en-MY"/>
        </w:rPr>
        <w:t>In realizing collaboration initiative and willingness of professional bodies and industry experts to collaborate towards mentoring activities, the meetings agreed to have MoU signing</w:t>
      </w:r>
      <w:r w:rsidR="00352DDC">
        <w:rPr>
          <w:rFonts w:ascii="Arial" w:hAnsi="Arial" w:cs="Arial"/>
          <w:lang w:val="en-MY" w:eastAsia="en-MY"/>
        </w:rPr>
        <w:t xml:space="preserve"> </w:t>
      </w:r>
      <w:r w:rsidR="00352DDC" w:rsidRPr="00352DDC">
        <w:rPr>
          <w:rFonts w:ascii="Arial" w:hAnsi="Arial" w:cs="Arial"/>
          <w:lang w:val="en-MY" w:eastAsia="en-MY"/>
        </w:rPr>
        <w:t xml:space="preserve">between MPC-IEM TC which are scheduled to commence in December this year.  </w:t>
      </w:r>
      <w:r w:rsidR="00352DDC">
        <w:rPr>
          <w:rFonts w:ascii="Arial" w:hAnsi="Arial" w:cs="Arial"/>
          <w:lang w:val="en-MY" w:eastAsia="en-MY"/>
        </w:rPr>
        <w:t xml:space="preserve">The </w:t>
      </w:r>
      <w:r w:rsidR="00352DDC" w:rsidRPr="00352DDC">
        <w:rPr>
          <w:rFonts w:ascii="Arial" w:hAnsi="Arial" w:cs="Arial"/>
          <w:lang w:val="en-MY" w:eastAsia="en-MY"/>
        </w:rPr>
        <w:t xml:space="preserve">IEM Training Centre </w:t>
      </w:r>
      <w:proofErr w:type="spellStart"/>
      <w:r w:rsidR="00352DDC" w:rsidRPr="00352DDC">
        <w:rPr>
          <w:rFonts w:ascii="Arial" w:hAnsi="Arial" w:cs="Arial"/>
          <w:lang w:val="en-MY" w:eastAsia="en-MY"/>
        </w:rPr>
        <w:t>Sdn</w:t>
      </w:r>
      <w:proofErr w:type="spellEnd"/>
      <w:r w:rsidR="00352DDC" w:rsidRPr="00352DDC">
        <w:rPr>
          <w:rFonts w:ascii="Arial" w:hAnsi="Arial" w:cs="Arial"/>
          <w:lang w:val="en-MY" w:eastAsia="en-MY"/>
        </w:rPr>
        <w:t xml:space="preserve"> </w:t>
      </w:r>
      <w:proofErr w:type="spellStart"/>
      <w:r w:rsidR="00352DDC" w:rsidRPr="00352DDC">
        <w:rPr>
          <w:rFonts w:ascii="Arial" w:hAnsi="Arial" w:cs="Arial"/>
          <w:lang w:val="en-MY" w:eastAsia="en-MY"/>
        </w:rPr>
        <w:t>Bhd</w:t>
      </w:r>
      <w:proofErr w:type="spellEnd"/>
      <w:r w:rsidR="00352DDC" w:rsidRPr="00352DDC">
        <w:rPr>
          <w:rFonts w:ascii="Arial" w:hAnsi="Arial" w:cs="Arial"/>
          <w:lang w:val="en-MY" w:eastAsia="en-MY"/>
        </w:rPr>
        <w:t xml:space="preserve"> (IEM TC) is 100% </w:t>
      </w:r>
      <w:r w:rsidR="00352DDC" w:rsidRPr="00352DDC">
        <w:rPr>
          <w:rFonts w:ascii="Arial" w:hAnsi="Arial" w:cs="Arial"/>
          <w:lang w:val="en-MY" w:eastAsia="en-MY"/>
        </w:rPr>
        <w:t>owned subsidiary</w:t>
      </w:r>
      <w:r w:rsidR="00352DDC" w:rsidRPr="00352DDC">
        <w:rPr>
          <w:rFonts w:ascii="Arial" w:hAnsi="Arial" w:cs="Arial"/>
          <w:lang w:val="en-MY" w:eastAsia="en-MY"/>
        </w:rPr>
        <w:t xml:space="preserve"> and a business arm of The Institution of Engineers Malaysia (IEM) since 1984. </w:t>
      </w:r>
    </w:p>
    <w:p w14:paraId="29218595" w14:textId="77777777" w:rsidR="00352DDC" w:rsidRDefault="00352DDC" w:rsidP="00352DDC">
      <w:pPr>
        <w:autoSpaceDE w:val="0"/>
        <w:autoSpaceDN w:val="0"/>
        <w:adjustRightInd w:val="0"/>
        <w:spacing w:line="276" w:lineRule="auto"/>
        <w:ind w:left="709" w:hanging="709"/>
        <w:jc w:val="both"/>
        <w:rPr>
          <w:rFonts w:ascii="Arial" w:hAnsi="Arial" w:cs="Arial"/>
          <w:lang w:val="en-MY" w:eastAsia="en-MY"/>
        </w:rPr>
      </w:pPr>
    </w:p>
    <w:p w14:paraId="6592A291" w14:textId="208CF5EA" w:rsidR="00352DDC" w:rsidRPr="00352DDC" w:rsidRDefault="00352DDC" w:rsidP="00352DDC">
      <w:pPr>
        <w:autoSpaceDE w:val="0"/>
        <w:autoSpaceDN w:val="0"/>
        <w:adjustRightInd w:val="0"/>
        <w:spacing w:line="276" w:lineRule="auto"/>
        <w:ind w:left="709" w:hanging="709"/>
        <w:jc w:val="both"/>
        <w:rPr>
          <w:rFonts w:ascii="Arial" w:hAnsi="Arial" w:cs="Arial"/>
          <w:lang w:val="en-MY" w:eastAsia="en-MY"/>
        </w:rPr>
      </w:pPr>
      <w:r>
        <w:rPr>
          <w:rFonts w:ascii="Arial" w:hAnsi="Arial" w:cs="Arial"/>
          <w:lang w:val="en-MY" w:eastAsia="en-MY"/>
        </w:rPr>
        <w:t>2.5</w:t>
      </w:r>
      <w:r>
        <w:rPr>
          <w:rFonts w:ascii="Arial" w:hAnsi="Arial" w:cs="Arial"/>
          <w:lang w:val="en-MY" w:eastAsia="en-MY"/>
        </w:rPr>
        <w:tab/>
      </w:r>
      <w:r w:rsidRPr="00352DDC">
        <w:rPr>
          <w:rFonts w:ascii="Arial" w:hAnsi="Arial" w:cs="Arial"/>
          <w:lang w:val="en-MY" w:eastAsia="en-MY"/>
        </w:rPr>
        <w:t xml:space="preserve">Amongst others the MoU is to develop </w:t>
      </w:r>
      <w:r>
        <w:rPr>
          <w:rFonts w:ascii="Arial" w:hAnsi="Arial" w:cs="Arial"/>
          <w:lang w:val="en-MY" w:eastAsia="en-MY"/>
        </w:rPr>
        <w:t>2</w:t>
      </w:r>
      <w:r w:rsidRPr="00352DDC">
        <w:rPr>
          <w:rFonts w:ascii="Arial" w:hAnsi="Arial" w:cs="Arial"/>
          <w:lang w:val="en-MY" w:eastAsia="en-MY"/>
        </w:rPr>
        <w:t>000 professional services practices (firms) and practitioners (</w:t>
      </w:r>
      <w:r>
        <w:rPr>
          <w:rFonts w:ascii="Arial" w:hAnsi="Arial" w:cs="Arial"/>
          <w:lang w:val="en-MY" w:eastAsia="en-MY"/>
        </w:rPr>
        <w:t>i</w:t>
      </w:r>
      <w:r w:rsidRPr="00352DDC">
        <w:rPr>
          <w:rFonts w:ascii="Arial" w:hAnsi="Arial" w:cs="Arial"/>
          <w:lang w:val="en-MY" w:eastAsia="en-MY"/>
        </w:rPr>
        <w:t xml:space="preserve">ndividual professionals) and companies to be mentored in IEM TC in 2021. With a large resource pool of the real co-working environment that IEM TC are having, </w:t>
      </w:r>
      <w:r>
        <w:rPr>
          <w:rFonts w:ascii="Arial" w:hAnsi="Arial" w:cs="Arial"/>
          <w:lang w:val="en-MY" w:eastAsia="en-MY"/>
        </w:rPr>
        <w:t xml:space="preserve">the </w:t>
      </w:r>
      <w:r w:rsidRPr="00352DDC">
        <w:rPr>
          <w:rFonts w:ascii="Arial" w:hAnsi="Arial" w:cs="Arial"/>
          <w:lang w:val="en-MY" w:eastAsia="en-MY"/>
        </w:rPr>
        <w:t xml:space="preserve">centres will </w:t>
      </w:r>
      <w:r w:rsidR="00ED397E" w:rsidRPr="00352DDC">
        <w:rPr>
          <w:rFonts w:ascii="Arial" w:hAnsi="Arial" w:cs="Arial"/>
          <w:lang w:val="en-MY" w:eastAsia="en-MY"/>
        </w:rPr>
        <w:t>provide mentoring</w:t>
      </w:r>
      <w:r w:rsidRPr="00352DDC">
        <w:rPr>
          <w:rFonts w:ascii="Arial" w:hAnsi="Arial" w:cs="Arial"/>
          <w:lang w:val="en-MY" w:eastAsia="en-MY"/>
        </w:rPr>
        <w:t xml:space="preserve"> services to the professionals through project-driven and based on a project management. This cooperation also may expand the wealth of data in MPC repository.</w:t>
      </w:r>
    </w:p>
    <w:p w14:paraId="45737C3A" w14:textId="77777777" w:rsidR="00352DDC" w:rsidRPr="00352DDC" w:rsidRDefault="00352DDC" w:rsidP="00352DDC">
      <w:pPr>
        <w:autoSpaceDE w:val="0"/>
        <w:autoSpaceDN w:val="0"/>
        <w:adjustRightInd w:val="0"/>
        <w:spacing w:line="276" w:lineRule="auto"/>
        <w:ind w:left="709" w:hanging="709"/>
        <w:jc w:val="both"/>
        <w:rPr>
          <w:rFonts w:ascii="Arial" w:hAnsi="Arial" w:cs="Arial"/>
          <w:lang w:val="en-MY" w:eastAsia="en-MY"/>
        </w:rPr>
      </w:pPr>
    </w:p>
    <w:p w14:paraId="7A7197F5" w14:textId="1622BA1D" w:rsidR="00352DDC" w:rsidRPr="00352DDC" w:rsidRDefault="00352DDC" w:rsidP="00352DDC">
      <w:pPr>
        <w:autoSpaceDE w:val="0"/>
        <w:autoSpaceDN w:val="0"/>
        <w:adjustRightInd w:val="0"/>
        <w:spacing w:line="276" w:lineRule="auto"/>
        <w:ind w:left="709" w:hanging="709"/>
        <w:jc w:val="both"/>
        <w:rPr>
          <w:rFonts w:ascii="Arial" w:hAnsi="Arial" w:cs="Arial"/>
          <w:lang w:val="en-MY" w:eastAsia="en-MY"/>
        </w:rPr>
      </w:pPr>
      <w:r>
        <w:rPr>
          <w:rFonts w:ascii="Arial" w:hAnsi="Arial" w:cs="Arial"/>
          <w:lang w:val="en-MY" w:eastAsia="en-MY"/>
        </w:rPr>
        <w:t>2.6</w:t>
      </w:r>
      <w:r>
        <w:rPr>
          <w:rFonts w:ascii="Arial" w:hAnsi="Arial" w:cs="Arial"/>
          <w:lang w:val="en-MY" w:eastAsia="en-MY"/>
        </w:rPr>
        <w:tab/>
      </w:r>
      <w:r w:rsidR="00ED397E">
        <w:rPr>
          <w:rFonts w:ascii="Arial" w:hAnsi="Arial" w:cs="Arial"/>
          <w:lang w:val="en-MY" w:eastAsia="en-MY"/>
        </w:rPr>
        <w:t>I</w:t>
      </w:r>
      <w:r w:rsidRPr="00352DDC">
        <w:rPr>
          <w:rFonts w:ascii="Arial" w:hAnsi="Arial" w:cs="Arial"/>
          <w:lang w:val="en-MY" w:eastAsia="en-MY"/>
        </w:rPr>
        <w:t xml:space="preserve">t was agreed that IEM through IEM Training centre will mentor 2000 qualified engineering consultant practices and practitioners on transforming </w:t>
      </w:r>
      <w:r w:rsidR="00ED397E" w:rsidRPr="00352DDC">
        <w:rPr>
          <w:rFonts w:ascii="Arial" w:hAnsi="Arial" w:cs="Arial"/>
          <w:lang w:val="en-MY" w:eastAsia="en-MY"/>
        </w:rPr>
        <w:t>into a</w:t>
      </w:r>
      <w:r w:rsidRPr="00352DDC">
        <w:rPr>
          <w:rFonts w:ascii="Arial" w:hAnsi="Arial" w:cs="Arial"/>
          <w:lang w:val="en-MY" w:eastAsia="en-MY"/>
        </w:rPr>
        <w:t xml:space="preserve"> sustainable and high quality multi-disciplinary engineering firms using G&amp;P model developed by engineering fraternity technical expert in 2021. As a way forward, to have at least 10 consortiums by end of 2025. </w:t>
      </w:r>
    </w:p>
    <w:p w14:paraId="72DF7881" w14:textId="77777777" w:rsidR="00352DDC" w:rsidRPr="00352DDC" w:rsidRDefault="00352DDC" w:rsidP="00352DDC">
      <w:pPr>
        <w:autoSpaceDE w:val="0"/>
        <w:autoSpaceDN w:val="0"/>
        <w:adjustRightInd w:val="0"/>
        <w:spacing w:line="276" w:lineRule="auto"/>
        <w:ind w:left="709" w:hanging="709"/>
        <w:jc w:val="both"/>
        <w:rPr>
          <w:rFonts w:ascii="Arial" w:hAnsi="Arial" w:cs="Arial"/>
          <w:lang w:val="en-MY" w:eastAsia="en-MY"/>
        </w:rPr>
      </w:pPr>
    </w:p>
    <w:p w14:paraId="021ED94A" w14:textId="7B6C7379" w:rsidR="00352DDC" w:rsidRPr="00352DDC" w:rsidRDefault="00ED397E" w:rsidP="00352DDC">
      <w:pPr>
        <w:autoSpaceDE w:val="0"/>
        <w:autoSpaceDN w:val="0"/>
        <w:adjustRightInd w:val="0"/>
        <w:spacing w:line="276" w:lineRule="auto"/>
        <w:ind w:left="709" w:hanging="709"/>
        <w:jc w:val="both"/>
        <w:rPr>
          <w:rFonts w:ascii="Arial" w:hAnsi="Arial" w:cs="Arial"/>
          <w:lang w:val="en-MY" w:eastAsia="en-MY"/>
        </w:rPr>
      </w:pPr>
      <w:r>
        <w:rPr>
          <w:rFonts w:ascii="Arial" w:hAnsi="Arial" w:cs="Arial"/>
          <w:lang w:val="en-MY" w:eastAsia="en-MY"/>
        </w:rPr>
        <w:t>2.7</w:t>
      </w:r>
      <w:r>
        <w:rPr>
          <w:rFonts w:ascii="Arial" w:hAnsi="Arial" w:cs="Arial"/>
          <w:lang w:val="en-MY" w:eastAsia="en-MY"/>
        </w:rPr>
        <w:tab/>
      </w:r>
      <w:r w:rsidR="00352DDC" w:rsidRPr="00352DDC">
        <w:rPr>
          <w:rFonts w:ascii="Arial" w:hAnsi="Arial" w:cs="Arial"/>
          <w:lang w:val="en-MY" w:eastAsia="en-MY"/>
        </w:rPr>
        <w:t xml:space="preserve">Following up the MoU, the first batch of mentoring initiative in 2020 will </w:t>
      </w:r>
      <w:r w:rsidRPr="00352DDC">
        <w:rPr>
          <w:rFonts w:ascii="Arial" w:hAnsi="Arial" w:cs="Arial"/>
          <w:lang w:val="en-MY" w:eastAsia="en-MY"/>
        </w:rPr>
        <w:t>involve up</w:t>
      </w:r>
      <w:r w:rsidR="00352DDC" w:rsidRPr="00352DDC">
        <w:rPr>
          <w:rFonts w:ascii="Arial" w:hAnsi="Arial" w:cs="Arial"/>
          <w:lang w:val="en-MY" w:eastAsia="en-MY"/>
        </w:rPr>
        <w:t xml:space="preserve"> to 20 </w:t>
      </w:r>
      <w:r w:rsidRPr="00352DDC">
        <w:rPr>
          <w:rFonts w:ascii="Arial" w:hAnsi="Arial" w:cs="Arial"/>
          <w:lang w:val="en-MY" w:eastAsia="en-MY"/>
        </w:rPr>
        <w:t>professionals for</w:t>
      </w:r>
      <w:r w:rsidR="00352DDC" w:rsidRPr="00352DDC">
        <w:rPr>
          <w:rFonts w:ascii="Arial" w:hAnsi="Arial" w:cs="Arial"/>
          <w:lang w:val="en-MY" w:eastAsia="en-MY"/>
        </w:rPr>
        <w:t xml:space="preserve"> </w:t>
      </w:r>
      <w:r>
        <w:rPr>
          <w:rFonts w:ascii="Arial" w:hAnsi="Arial" w:cs="Arial"/>
          <w:lang w:val="en-MY" w:eastAsia="en-MY"/>
        </w:rPr>
        <w:t xml:space="preserve">the </w:t>
      </w:r>
      <w:r w:rsidR="00352DDC" w:rsidRPr="00352DDC">
        <w:rPr>
          <w:rFonts w:ascii="Arial" w:hAnsi="Arial" w:cs="Arial"/>
          <w:lang w:val="en-MY" w:eastAsia="en-MY"/>
        </w:rPr>
        <w:t xml:space="preserve">centre and </w:t>
      </w:r>
      <w:r w:rsidRPr="00352DDC">
        <w:rPr>
          <w:rFonts w:ascii="Arial" w:hAnsi="Arial" w:cs="Arial"/>
          <w:lang w:val="en-MY" w:eastAsia="en-MY"/>
        </w:rPr>
        <w:t>for 2021</w:t>
      </w:r>
      <w:r w:rsidR="00352DDC" w:rsidRPr="00352DDC">
        <w:rPr>
          <w:rFonts w:ascii="Arial" w:hAnsi="Arial" w:cs="Arial"/>
          <w:lang w:val="en-MY" w:eastAsia="en-MY"/>
        </w:rPr>
        <w:t xml:space="preserve">, it was agreed to </w:t>
      </w:r>
      <w:r w:rsidRPr="00352DDC">
        <w:rPr>
          <w:rFonts w:ascii="Arial" w:hAnsi="Arial" w:cs="Arial"/>
          <w:lang w:val="en-MY" w:eastAsia="en-MY"/>
        </w:rPr>
        <w:t>have 2000</w:t>
      </w:r>
      <w:r w:rsidR="00352DDC" w:rsidRPr="00352DDC">
        <w:rPr>
          <w:rFonts w:ascii="Arial" w:hAnsi="Arial" w:cs="Arial"/>
          <w:lang w:val="en-MY" w:eastAsia="en-MY"/>
        </w:rPr>
        <w:t xml:space="preserve"> professionals being mentored at </w:t>
      </w:r>
      <w:r>
        <w:rPr>
          <w:rFonts w:ascii="Arial" w:hAnsi="Arial" w:cs="Arial"/>
          <w:lang w:val="en-MY" w:eastAsia="en-MY"/>
        </w:rPr>
        <w:t xml:space="preserve">the </w:t>
      </w:r>
      <w:r w:rsidR="00352DDC" w:rsidRPr="00352DDC">
        <w:rPr>
          <w:rFonts w:ascii="Arial" w:hAnsi="Arial" w:cs="Arial"/>
          <w:lang w:val="en-MY" w:eastAsia="en-MY"/>
        </w:rPr>
        <w:t xml:space="preserve">centre.  </w:t>
      </w:r>
    </w:p>
    <w:p w14:paraId="23421496" w14:textId="74829910" w:rsidR="001678B5" w:rsidRDefault="001678B5" w:rsidP="00352DDC">
      <w:pPr>
        <w:autoSpaceDE w:val="0"/>
        <w:autoSpaceDN w:val="0"/>
        <w:adjustRightInd w:val="0"/>
        <w:spacing w:line="276" w:lineRule="auto"/>
        <w:ind w:left="709" w:hanging="709"/>
        <w:jc w:val="both"/>
        <w:rPr>
          <w:rFonts w:ascii="Arial" w:hAnsi="Arial" w:cs="Arial"/>
        </w:rPr>
      </w:pPr>
    </w:p>
    <w:p w14:paraId="157DE477" w14:textId="19B276DC" w:rsidR="002205D0" w:rsidRDefault="002205D0" w:rsidP="004A2790">
      <w:pPr>
        <w:autoSpaceDE w:val="0"/>
        <w:autoSpaceDN w:val="0"/>
        <w:adjustRightInd w:val="0"/>
        <w:spacing w:line="276" w:lineRule="auto"/>
        <w:ind w:left="709" w:hanging="709"/>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4BFB6848" w14:textId="50BC2144" w:rsidR="00774F7D" w:rsidRDefault="009900F9" w:rsidP="00774F7D">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to</w:t>
      </w:r>
      <w:r w:rsidR="004A2790" w:rsidRPr="004A2790">
        <w:rPr>
          <w:rFonts w:ascii="Arial" w:eastAsiaTheme="minorHAnsi" w:hAnsi="Arial" w:cs="Arial"/>
          <w:color w:val="000000"/>
          <w:lang w:val="en-MY"/>
        </w:rPr>
        <w:t xml:space="preserve"> appoint </w:t>
      </w:r>
      <w:r w:rsidR="00774F7D" w:rsidRPr="00774F7D">
        <w:rPr>
          <w:rFonts w:ascii="Arial" w:eastAsiaTheme="minorHAnsi" w:hAnsi="Arial" w:cs="Arial"/>
          <w:color w:val="000000"/>
          <w:lang w:val="en-MY"/>
        </w:rPr>
        <w:t xml:space="preserve">a technical expert for </w:t>
      </w:r>
      <w:r w:rsidR="00774F7D">
        <w:rPr>
          <w:rFonts w:ascii="Arial" w:eastAsiaTheme="minorHAnsi" w:hAnsi="Arial" w:cs="Arial"/>
          <w:color w:val="000000"/>
          <w:lang w:val="en-MY"/>
        </w:rPr>
        <w:t xml:space="preserve">PSPN </w:t>
      </w:r>
      <w:r w:rsidR="00774F7D" w:rsidRPr="00774F7D">
        <w:rPr>
          <w:rFonts w:ascii="Arial" w:eastAsiaTheme="minorHAnsi" w:hAnsi="Arial" w:cs="Arial"/>
          <w:color w:val="000000"/>
          <w:lang w:val="en-MY"/>
        </w:rPr>
        <w:t xml:space="preserve">promotional arrangement of </w:t>
      </w:r>
      <w:r w:rsidR="00774F7D">
        <w:rPr>
          <w:rFonts w:ascii="Arial" w:eastAsiaTheme="minorHAnsi" w:hAnsi="Arial" w:cs="Arial"/>
          <w:color w:val="000000"/>
          <w:lang w:val="en-MY"/>
        </w:rPr>
        <w:t xml:space="preserve">MoU </w:t>
      </w:r>
      <w:r w:rsidR="00774F7D" w:rsidRPr="00774F7D">
        <w:rPr>
          <w:rFonts w:ascii="Arial" w:eastAsiaTheme="minorHAnsi" w:hAnsi="Arial" w:cs="Arial"/>
          <w:color w:val="000000"/>
          <w:lang w:val="en-MY"/>
        </w:rPr>
        <w:t xml:space="preserve">signing ceremony between </w:t>
      </w:r>
      <w:r w:rsidR="00774F7D">
        <w:rPr>
          <w:rFonts w:ascii="Arial" w:eastAsiaTheme="minorHAnsi" w:hAnsi="Arial" w:cs="Arial"/>
          <w:color w:val="000000"/>
          <w:lang w:val="en-MY"/>
        </w:rPr>
        <w:t>MPC</w:t>
      </w:r>
      <w:r w:rsidR="00774F7D" w:rsidRPr="00774F7D">
        <w:rPr>
          <w:rFonts w:ascii="Arial" w:eastAsiaTheme="minorHAnsi" w:hAnsi="Arial" w:cs="Arial"/>
          <w:color w:val="000000"/>
          <w:lang w:val="en-MY"/>
        </w:rPr>
        <w:t xml:space="preserve"> </w:t>
      </w:r>
      <w:r w:rsidR="00ED397E">
        <w:rPr>
          <w:rFonts w:ascii="Arial" w:eastAsiaTheme="minorHAnsi" w:hAnsi="Arial" w:cs="Arial"/>
          <w:color w:val="000000"/>
          <w:lang w:val="en-MY"/>
        </w:rPr>
        <w:t>and t</w:t>
      </w:r>
      <w:r w:rsidR="00ED397E" w:rsidRPr="00ED397E">
        <w:rPr>
          <w:rFonts w:ascii="Arial" w:eastAsiaTheme="minorHAnsi" w:hAnsi="Arial" w:cs="Arial"/>
          <w:color w:val="000000"/>
          <w:lang w:val="en-MY"/>
        </w:rPr>
        <w:t xml:space="preserve">he Institution of Engineers Malaysia Training Centre </w:t>
      </w:r>
      <w:proofErr w:type="spellStart"/>
      <w:r w:rsidR="00ED397E" w:rsidRPr="00ED397E">
        <w:rPr>
          <w:rFonts w:ascii="Arial" w:eastAsiaTheme="minorHAnsi" w:hAnsi="Arial" w:cs="Arial"/>
          <w:color w:val="000000"/>
          <w:lang w:val="en-MY"/>
        </w:rPr>
        <w:t>Sdn</w:t>
      </w:r>
      <w:proofErr w:type="spellEnd"/>
      <w:r w:rsidR="00ED397E" w:rsidRPr="00ED397E">
        <w:rPr>
          <w:rFonts w:ascii="Arial" w:eastAsiaTheme="minorHAnsi" w:hAnsi="Arial" w:cs="Arial"/>
          <w:color w:val="000000"/>
          <w:lang w:val="en-MY"/>
        </w:rPr>
        <w:t xml:space="preserve"> </w:t>
      </w:r>
      <w:proofErr w:type="spellStart"/>
      <w:r w:rsidR="00ED397E" w:rsidRPr="00ED397E">
        <w:rPr>
          <w:rFonts w:ascii="Arial" w:eastAsiaTheme="minorHAnsi" w:hAnsi="Arial" w:cs="Arial"/>
          <w:color w:val="000000"/>
          <w:lang w:val="en-MY"/>
        </w:rPr>
        <w:t>Bhd</w:t>
      </w:r>
      <w:proofErr w:type="spellEnd"/>
      <w:r w:rsidR="00ED397E" w:rsidRPr="00ED397E">
        <w:rPr>
          <w:rFonts w:ascii="Arial" w:eastAsiaTheme="minorHAnsi" w:hAnsi="Arial" w:cs="Arial"/>
          <w:color w:val="000000"/>
          <w:lang w:val="en-MY"/>
        </w:rPr>
        <w:t xml:space="preserve"> (IEM TC)</w:t>
      </w:r>
      <w:r w:rsidR="00ED397E">
        <w:rPr>
          <w:rFonts w:ascii="Arial" w:eastAsiaTheme="minorHAnsi" w:hAnsi="Arial" w:cs="Arial"/>
          <w:color w:val="000000"/>
          <w:lang w:val="en-MY"/>
        </w:rPr>
        <w:t>.</w:t>
      </w:r>
    </w:p>
    <w:p w14:paraId="1EDAE41D" w14:textId="77777777" w:rsidR="00ED397E" w:rsidRDefault="00ED397E" w:rsidP="00774F7D">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6F4883F6" w:rsidR="00210450" w:rsidRDefault="00210450" w:rsidP="00774F7D">
      <w:pPr>
        <w:autoSpaceDE w:val="0"/>
        <w:autoSpaceDN w:val="0"/>
        <w:adjustRightInd w:val="0"/>
        <w:spacing w:line="276" w:lineRule="auto"/>
        <w:ind w:left="709" w:hanging="709"/>
        <w:jc w:val="both"/>
        <w:rPr>
          <w:rFonts w:ascii="Arial" w:eastAsiaTheme="minorHAnsi" w:hAnsi="Arial" w:cs="Arial"/>
          <w:b/>
          <w:bCs/>
          <w:color w:val="000000"/>
          <w:lang w:val="en-MY"/>
        </w:rPr>
      </w:pPr>
      <w:r>
        <w:rPr>
          <w:rFonts w:ascii="Arial" w:eastAsiaTheme="minorHAnsi" w:hAnsi="Arial" w:cs="Arial"/>
          <w:b/>
          <w:bCs/>
          <w:color w:val="000000"/>
          <w:lang w:val="en-MY"/>
        </w:rPr>
        <w:lastRenderedPageBreak/>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501FB309" w:rsidR="005C4AA4" w:rsidRPr="005C4AA4" w:rsidRDefault="009900F9"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roles of a </w:t>
      </w:r>
      <w:r w:rsidR="004A2790">
        <w:rPr>
          <w:rFonts w:ascii="Arial" w:eastAsiaTheme="minorHAnsi" w:hAnsi="Arial" w:cs="Arial"/>
          <w:color w:val="000000"/>
          <w:lang w:val="en-MY"/>
        </w:rPr>
        <w:t xml:space="preserve">technical expert </w:t>
      </w:r>
      <w:r w:rsidR="005C4AA4" w:rsidRPr="005C4AA4">
        <w:rPr>
          <w:rFonts w:ascii="Arial" w:eastAsiaTheme="minorHAnsi" w:hAnsi="Arial" w:cs="Arial"/>
          <w:color w:val="000000"/>
          <w:lang w:val="en-MY"/>
        </w:rPr>
        <w:t xml:space="preserve">include the followings: </w:t>
      </w:r>
    </w:p>
    <w:p w14:paraId="08AEDA06" w14:textId="039E3EE0" w:rsidR="004A2790" w:rsidRDefault="004A2790" w:rsidP="004A2790">
      <w:pPr>
        <w:autoSpaceDE w:val="0"/>
        <w:autoSpaceDN w:val="0"/>
        <w:adjustRightInd w:val="0"/>
        <w:spacing w:line="276" w:lineRule="auto"/>
        <w:ind w:left="1418" w:hanging="709"/>
        <w:jc w:val="both"/>
        <w:rPr>
          <w:rFonts w:ascii="Arial" w:eastAsiaTheme="minorHAnsi" w:hAnsi="Arial" w:cs="Arial"/>
          <w:color w:val="000000"/>
          <w:lang w:val="en-MY"/>
        </w:rPr>
      </w:pPr>
    </w:p>
    <w:p w14:paraId="60888784" w14:textId="49E8511A" w:rsidR="002205D0" w:rsidRPr="002205D0" w:rsidRDefault="002205D0" w:rsidP="002205D0">
      <w:pPr>
        <w:autoSpaceDE w:val="0"/>
        <w:autoSpaceDN w:val="0"/>
        <w:adjustRightInd w:val="0"/>
        <w:spacing w:line="276" w:lineRule="auto"/>
        <w:ind w:left="1418" w:hanging="709"/>
        <w:jc w:val="both"/>
        <w:rPr>
          <w:rFonts w:ascii="Arial" w:eastAsiaTheme="minorHAnsi" w:hAnsi="Arial" w:cs="Arial"/>
          <w:color w:val="000000"/>
          <w:lang w:val="en-MY"/>
        </w:rPr>
      </w:pPr>
      <w:r w:rsidRPr="002205D0">
        <w:rPr>
          <w:rFonts w:ascii="Arial" w:eastAsiaTheme="minorHAnsi" w:hAnsi="Arial" w:cs="Arial"/>
          <w:color w:val="000000"/>
          <w:lang w:val="en-MY"/>
        </w:rPr>
        <w:t>1.</w:t>
      </w:r>
      <w:r w:rsidRPr="002205D0">
        <w:rPr>
          <w:rFonts w:ascii="Arial" w:eastAsiaTheme="minorHAnsi" w:hAnsi="Arial" w:cs="Arial"/>
          <w:color w:val="000000"/>
          <w:lang w:val="en-MY"/>
        </w:rPr>
        <w:tab/>
        <w:t>Social media coverage – FB live on the event day</w:t>
      </w:r>
      <w:r w:rsidRPr="002205D0">
        <w:rPr>
          <w:rFonts w:ascii="Arial" w:eastAsiaTheme="minorHAnsi" w:hAnsi="Arial" w:cs="Arial"/>
          <w:color w:val="000000"/>
          <w:lang w:val="en-MY"/>
        </w:rPr>
        <w:tab/>
      </w:r>
    </w:p>
    <w:p w14:paraId="70C3B688" w14:textId="77777777" w:rsidR="002205D0" w:rsidRPr="002205D0" w:rsidRDefault="002205D0" w:rsidP="002205D0">
      <w:pPr>
        <w:autoSpaceDE w:val="0"/>
        <w:autoSpaceDN w:val="0"/>
        <w:adjustRightInd w:val="0"/>
        <w:spacing w:line="276" w:lineRule="auto"/>
        <w:ind w:left="1418" w:hanging="709"/>
        <w:jc w:val="both"/>
        <w:rPr>
          <w:rFonts w:ascii="Arial" w:eastAsiaTheme="minorHAnsi" w:hAnsi="Arial" w:cs="Arial"/>
          <w:color w:val="000000"/>
          <w:lang w:val="en-MY"/>
        </w:rPr>
      </w:pPr>
      <w:r w:rsidRPr="002205D0">
        <w:rPr>
          <w:rFonts w:ascii="Arial" w:eastAsiaTheme="minorHAnsi" w:hAnsi="Arial" w:cs="Arial"/>
          <w:color w:val="000000"/>
          <w:lang w:val="en-MY"/>
        </w:rPr>
        <w:t>2.</w:t>
      </w:r>
      <w:r w:rsidRPr="002205D0">
        <w:rPr>
          <w:rFonts w:ascii="Arial" w:eastAsiaTheme="minorHAnsi" w:hAnsi="Arial" w:cs="Arial"/>
          <w:color w:val="000000"/>
          <w:lang w:val="en-MY"/>
        </w:rPr>
        <w:tab/>
        <w:t>Preparation of media release</w:t>
      </w:r>
      <w:r w:rsidRPr="002205D0">
        <w:rPr>
          <w:rFonts w:ascii="Arial" w:eastAsiaTheme="minorHAnsi" w:hAnsi="Arial" w:cs="Arial"/>
          <w:color w:val="000000"/>
          <w:lang w:val="en-MY"/>
        </w:rPr>
        <w:tab/>
      </w:r>
    </w:p>
    <w:p w14:paraId="1F3E689C" w14:textId="77777777" w:rsidR="002205D0" w:rsidRPr="002205D0" w:rsidRDefault="002205D0" w:rsidP="002205D0">
      <w:pPr>
        <w:autoSpaceDE w:val="0"/>
        <w:autoSpaceDN w:val="0"/>
        <w:adjustRightInd w:val="0"/>
        <w:spacing w:line="276" w:lineRule="auto"/>
        <w:ind w:left="1418" w:hanging="709"/>
        <w:jc w:val="both"/>
        <w:rPr>
          <w:rFonts w:ascii="Arial" w:eastAsiaTheme="minorHAnsi" w:hAnsi="Arial" w:cs="Arial"/>
          <w:color w:val="000000"/>
          <w:lang w:val="en-MY"/>
        </w:rPr>
      </w:pPr>
      <w:r w:rsidRPr="002205D0">
        <w:rPr>
          <w:rFonts w:ascii="Arial" w:eastAsiaTheme="minorHAnsi" w:hAnsi="Arial" w:cs="Arial"/>
          <w:color w:val="000000"/>
          <w:lang w:val="en-MY"/>
        </w:rPr>
        <w:t>3.</w:t>
      </w:r>
      <w:r w:rsidRPr="002205D0">
        <w:rPr>
          <w:rFonts w:ascii="Arial" w:eastAsiaTheme="minorHAnsi" w:hAnsi="Arial" w:cs="Arial"/>
          <w:color w:val="000000"/>
          <w:lang w:val="en-MY"/>
        </w:rPr>
        <w:tab/>
        <w:t>Articles writing</w:t>
      </w:r>
      <w:r w:rsidRPr="002205D0">
        <w:rPr>
          <w:rFonts w:ascii="Arial" w:eastAsiaTheme="minorHAnsi" w:hAnsi="Arial" w:cs="Arial"/>
          <w:color w:val="000000"/>
          <w:lang w:val="en-MY"/>
        </w:rPr>
        <w:tab/>
      </w:r>
    </w:p>
    <w:p w14:paraId="383FDD0C" w14:textId="77777777" w:rsidR="002205D0" w:rsidRPr="002205D0" w:rsidRDefault="002205D0" w:rsidP="002205D0">
      <w:pPr>
        <w:autoSpaceDE w:val="0"/>
        <w:autoSpaceDN w:val="0"/>
        <w:adjustRightInd w:val="0"/>
        <w:spacing w:line="276" w:lineRule="auto"/>
        <w:ind w:left="1418" w:hanging="709"/>
        <w:jc w:val="both"/>
        <w:rPr>
          <w:rFonts w:ascii="Arial" w:eastAsiaTheme="minorHAnsi" w:hAnsi="Arial" w:cs="Arial"/>
          <w:color w:val="000000"/>
          <w:lang w:val="en-MY"/>
        </w:rPr>
      </w:pPr>
      <w:r w:rsidRPr="002205D0">
        <w:rPr>
          <w:rFonts w:ascii="Arial" w:eastAsiaTheme="minorHAnsi" w:hAnsi="Arial" w:cs="Arial"/>
          <w:color w:val="000000"/>
          <w:lang w:val="en-MY"/>
        </w:rPr>
        <w:t>4.</w:t>
      </w:r>
      <w:r w:rsidRPr="002205D0">
        <w:rPr>
          <w:rFonts w:ascii="Arial" w:eastAsiaTheme="minorHAnsi" w:hAnsi="Arial" w:cs="Arial"/>
          <w:color w:val="000000"/>
          <w:lang w:val="en-MY"/>
        </w:rPr>
        <w:tab/>
        <w:t xml:space="preserve">Preparation of design, concept and artwork development of posters &amp; brochures </w:t>
      </w:r>
      <w:r w:rsidRPr="002205D0">
        <w:rPr>
          <w:rFonts w:ascii="Arial" w:eastAsiaTheme="minorHAnsi" w:hAnsi="Arial" w:cs="Arial"/>
          <w:color w:val="000000"/>
          <w:lang w:val="en-MY"/>
        </w:rPr>
        <w:tab/>
      </w:r>
    </w:p>
    <w:p w14:paraId="68DECA19" w14:textId="107DCECE" w:rsidR="002205D0" w:rsidRDefault="002205D0" w:rsidP="002205D0">
      <w:pPr>
        <w:autoSpaceDE w:val="0"/>
        <w:autoSpaceDN w:val="0"/>
        <w:adjustRightInd w:val="0"/>
        <w:spacing w:line="276" w:lineRule="auto"/>
        <w:ind w:left="1418" w:hanging="709"/>
        <w:jc w:val="both"/>
        <w:rPr>
          <w:rFonts w:ascii="Arial" w:eastAsiaTheme="minorHAnsi" w:hAnsi="Arial" w:cs="Arial"/>
          <w:color w:val="000000"/>
          <w:lang w:val="en-MY"/>
        </w:rPr>
      </w:pPr>
      <w:r w:rsidRPr="002205D0">
        <w:rPr>
          <w:rFonts w:ascii="Arial" w:eastAsiaTheme="minorHAnsi" w:hAnsi="Arial" w:cs="Arial"/>
          <w:color w:val="000000"/>
          <w:lang w:val="en-MY"/>
        </w:rPr>
        <w:t>5.</w:t>
      </w:r>
      <w:r w:rsidRPr="002205D0">
        <w:rPr>
          <w:rFonts w:ascii="Arial" w:eastAsiaTheme="minorHAnsi" w:hAnsi="Arial" w:cs="Arial"/>
          <w:color w:val="000000"/>
          <w:lang w:val="en-MY"/>
        </w:rPr>
        <w:tab/>
        <w:t xml:space="preserve">Preparation of Multimedia Presentation/Montage on MOU signing between MPC – </w:t>
      </w:r>
      <w:r w:rsidR="00507882">
        <w:rPr>
          <w:rFonts w:ascii="Arial" w:eastAsiaTheme="minorHAnsi" w:hAnsi="Arial" w:cs="Arial"/>
          <w:color w:val="000000"/>
          <w:lang w:val="en-MY"/>
        </w:rPr>
        <w:t>IEM TC</w:t>
      </w:r>
      <w:r w:rsidRPr="002205D0">
        <w:rPr>
          <w:rFonts w:ascii="Arial" w:eastAsiaTheme="minorHAnsi" w:hAnsi="Arial" w:cs="Arial"/>
          <w:color w:val="000000"/>
          <w:lang w:val="en-MY"/>
        </w:rPr>
        <w:t xml:space="preserve"> </w:t>
      </w:r>
      <w:r w:rsidRPr="002205D0">
        <w:rPr>
          <w:rFonts w:ascii="Arial" w:eastAsiaTheme="minorHAnsi" w:hAnsi="Arial" w:cs="Arial"/>
          <w:color w:val="000000"/>
          <w:lang w:val="en-MY"/>
        </w:rPr>
        <w:tab/>
      </w:r>
    </w:p>
    <w:p w14:paraId="746AA121" w14:textId="39B45FD5" w:rsidR="002205D0" w:rsidRDefault="002205D0" w:rsidP="004A2790">
      <w:pPr>
        <w:autoSpaceDE w:val="0"/>
        <w:autoSpaceDN w:val="0"/>
        <w:adjustRightInd w:val="0"/>
        <w:spacing w:line="276" w:lineRule="auto"/>
        <w:ind w:left="1418" w:hanging="709"/>
        <w:jc w:val="both"/>
        <w:rPr>
          <w:rFonts w:ascii="Arial" w:eastAsiaTheme="minorHAnsi" w:hAnsi="Arial" w:cs="Arial"/>
          <w:color w:val="000000"/>
          <w:lang w:val="en-MY"/>
        </w:rPr>
      </w:pPr>
    </w:p>
    <w:p w14:paraId="288AF45A" w14:textId="0D0D7A96"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5C4AA4" w:rsidRPr="005C4AA4">
        <w:rPr>
          <w:rFonts w:ascii="Arial" w:eastAsiaTheme="minorHAnsi" w:hAnsi="Arial" w:cs="Arial"/>
          <w:b/>
          <w:bCs/>
          <w:color w:val="000000"/>
          <w:lang w:val="en-MY"/>
        </w:rPr>
        <w:t>.</w:t>
      </w:r>
      <w:r w:rsidR="00F35F47">
        <w:rPr>
          <w:rFonts w:ascii="Arial" w:eastAsiaTheme="minorHAnsi" w:hAnsi="Arial" w:cs="Arial"/>
          <w:b/>
          <w:bCs/>
          <w:color w:val="000000"/>
          <w:lang w:val="en-MY"/>
        </w:rPr>
        <w:t xml:space="preserve">0 </w:t>
      </w:r>
      <w:r>
        <w:rPr>
          <w:rFonts w:ascii="Arial" w:eastAsiaTheme="minorHAnsi" w:hAnsi="Arial" w:cs="Arial"/>
          <w:b/>
          <w:bCs/>
          <w:color w:val="000000"/>
          <w:lang w:val="en-MY"/>
        </w:rPr>
        <w:t xml:space="preserve">   </w:t>
      </w:r>
      <w:r w:rsidR="005C4AA4" w:rsidRPr="005C4AA4">
        <w:rPr>
          <w:rFonts w:ascii="Arial" w:eastAsiaTheme="minorHAnsi" w:hAnsi="Arial" w:cs="Arial"/>
          <w:b/>
          <w:bCs/>
          <w:color w:val="000000"/>
          <w:lang w:val="en-MY"/>
        </w:rPr>
        <w:t xml:space="preserve">Duration of Appointment </w:t>
      </w:r>
    </w:p>
    <w:p w14:paraId="6A704631" w14:textId="77777777" w:rsidR="00105222" w:rsidRDefault="00105222" w:rsidP="005C4AA4">
      <w:pPr>
        <w:autoSpaceDE w:val="0"/>
        <w:autoSpaceDN w:val="0"/>
        <w:adjustRightInd w:val="0"/>
        <w:spacing w:line="276" w:lineRule="auto"/>
        <w:jc w:val="both"/>
        <w:rPr>
          <w:rFonts w:ascii="Arial" w:eastAsiaTheme="minorHAnsi" w:hAnsi="Arial" w:cs="Arial"/>
          <w:color w:val="000000"/>
          <w:lang w:val="en-MY"/>
        </w:rPr>
      </w:pPr>
    </w:p>
    <w:p w14:paraId="4EDD432E" w14:textId="3633274C" w:rsidR="005C4AA4" w:rsidRPr="005C4AA4" w:rsidRDefault="00105222" w:rsidP="00105222">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5.1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duration of appointment is within </w:t>
      </w:r>
      <w:r>
        <w:rPr>
          <w:rFonts w:ascii="Arial" w:eastAsiaTheme="minorHAnsi" w:hAnsi="Arial" w:cs="Arial"/>
          <w:color w:val="000000"/>
          <w:lang w:val="en-MY"/>
        </w:rPr>
        <w:t xml:space="preserve">two (2) </w:t>
      </w:r>
      <w:r w:rsidR="005C4AA4" w:rsidRPr="005C4AA4">
        <w:rPr>
          <w:rFonts w:ascii="Arial" w:eastAsiaTheme="minorHAnsi" w:hAnsi="Arial" w:cs="Arial"/>
          <w:color w:val="000000"/>
          <w:lang w:val="en-MY"/>
        </w:rPr>
        <w:t xml:space="preserve">months effective </w:t>
      </w:r>
      <w:r w:rsidR="00A274C2">
        <w:rPr>
          <w:rFonts w:ascii="Arial" w:eastAsiaTheme="minorHAnsi" w:hAnsi="Arial" w:cs="Arial"/>
          <w:color w:val="000000"/>
          <w:lang w:val="en-MY"/>
        </w:rPr>
        <w:t xml:space="preserve">November to December </w:t>
      </w:r>
      <w:r w:rsidR="005C4AA4" w:rsidRPr="005C4AA4">
        <w:rPr>
          <w:rFonts w:ascii="Arial" w:eastAsiaTheme="minorHAnsi" w:hAnsi="Arial" w:cs="Arial"/>
          <w:color w:val="000000"/>
          <w:lang w:val="en-MY"/>
        </w:rPr>
        <w:t xml:space="preserve">2020. </w:t>
      </w:r>
    </w:p>
    <w:p w14:paraId="45DB0EB8" w14:textId="77777777" w:rsidR="00D869AA" w:rsidRDefault="00D869AA" w:rsidP="005C4AA4">
      <w:pPr>
        <w:autoSpaceDE w:val="0"/>
        <w:autoSpaceDN w:val="0"/>
        <w:adjustRightInd w:val="0"/>
        <w:spacing w:line="276" w:lineRule="auto"/>
        <w:jc w:val="both"/>
        <w:rPr>
          <w:rFonts w:ascii="Arial" w:eastAsiaTheme="minorHAnsi" w:hAnsi="Arial" w:cs="Arial"/>
          <w:b/>
          <w:bCs/>
          <w:color w:val="000000"/>
          <w:lang w:val="en-MY"/>
        </w:rPr>
      </w:pPr>
    </w:p>
    <w:p w14:paraId="196720A4" w14:textId="3EB68E59"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 xml:space="preserve">6.0    </w:t>
      </w:r>
      <w:r w:rsidR="005C4AA4" w:rsidRPr="005C4AA4">
        <w:rPr>
          <w:rFonts w:ascii="Arial" w:eastAsiaTheme="minorHAnsi" w:hAnsi="Arial" w:cs="Arial"/>
          <w:b/>
          <w:bCs/>
          <w:color w:val="000000"/>
          <w:lang w:val="en-MY"/>
        </w:rPr>
        <w:t xml:space="preserve">Payment Terms </w:t>
      </w:r>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0280558D" w:rsidR="00D869AA" w:rsidRDefault="00105222"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6.1</w:t>
      </w:r>
      <w:r>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DC4658">
        <w:rPr>
          <w:rFonts w:ascii="Arial" w:eastAsiaTheme="minorHAnsi" w:hAnsi="Arial" w:cs="Arial"/>
          <w:color w:val="000000"/>
          <w:lang w:val="en-MY"/>
        </w:rPr>
        <w:t xml:space="preserve">technical expert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p w14:paraId="105EACB6" w14:textId="1B147539" w:rsidR="00507882" w:rsidRDefault="00507882" w:rsidP="00D869AA">
      <w:pPr>
        <w:autoSpaceDE w:val="0"/>
        <w:autoSpaceDN w:val="0"/>
        <w:adjustRightInd w:val="0"/>
        <w:spacing w:line="276" w:lineRule="auto"/>
        <w:jc w:val="both"/>
        <w:rPr>
          <w:rFonts w:ascii="Arial" w:eastAsiaTheme="minorHAnsi" w:hAnsi="Arial" w:cs="Arial"/>
          <w:color w:val="000000"/>
          <w:lang w:val="en-MY"/>
        </w:rPr>
      </w:pPr>
    </w:p>
    <w:tbl>
      <w:tblPr>
        <w:tblStyle w:val="TableGrid"/>
        <w:tblpPr w:leftFromText="180" w:rightFromText="180" w:vertAnchor="page" w:horzAnchor="margin" w:tblpY="6751"/>
        <w:tblOverlap w:val="never"/>
        <w:tblW w:w="8926" w:type="dxa"/>
        <w:tblLayout w:type="fixed"/>
        <w:tblLook w:val="04A0" w:firstRow="1" w:lastRow="0" w:firstColumn="1" w:lastColumn="0" w:noHBand="0" w:noVBand="1"/>
      </w:tblPr>
      <w:tblGrid>
        <w:gridCol w:w="704"/>
        <w:gridCol w:w="6379"/>
        <w:gridCol w:w="1843"/>
      </w:tblGrid>
      <w:tr w:rsidR="00507882" w:rsidRPr="00507882" w14:paraId="4C0FD293" w14:textId="77777777" w:rsidTr="00507882">
        <w:tc>
          <w:tcPr>
            <w:tcW w:w="704" w:type="dxa"/>
          </w:tcPr>
          <w:p w14:paraId="4DD6D4BA" w14:textId="77777777" w:rsidR="00507882" w:rsidRPr="00507882" w:rsidRDefault="00507882" w:rsidP="00507882">
            <w:pPr>
              <w:spacing w:before="120" w:after="120"/>
              <w:ind w:right="-180"/>
              <w:jc w:val="both"/>
              <w:rPr>
                <w:rFonts w:ascii="Arial" w:hAnsi="Arial" w:cs="Arial"/>
                <w:b/>
              </w:rPr>
            </w:pPr>
            <w:bookmarkStart w:id="1" w:name="_Hlk45015867"/>
            <w:r w:rsidRPr="00507882">
              <w:rPr>
                <w:rFonts w:ascii="Arial" w:hAnsi="Arial" w:cs="Arial"/>
                <w:b/>
              </w:rPr>
              <w:t>No.</w:t>
            </w:r>
          </w:p>
        </w:tc>
        <w:tc>
          <w:tcPr>
            <w:tcW w:w="6379" w:type="dxa"/>
          </w:tcPr>
          <w:p w14:paraId="45ABCCFF" w14:textId="77777777" w:rsidR="00507882" w:rsidRPr="00507882" w:rsidRDefault="00507882" w:rsidP="00507882">
            <w:pPr>
              <w:spacing w:before="120" w:after="120"/>
              <w:ind w:right="-180"/>
              <w:jc w:val="center"/>
              <w:rPr>
                <w:rFonts w:ascii="Arial" w:hAnsi="Arial" w:cs="Arial"/>
                <w:b/>
              </w:rPr>
            </w:pPr>
            <w:r w:rsidRPr="00507882">
              <w:rPr>
                <w:rFonts w:ascii="Arial" w:hAnsi="Arial" w:cs="Arial"/>
                <w:b/>
              </w:rPr>
              <w:t>Scope of Work</w:t>
            </w:r>
          </w:p>
        </w:tc>
        <w:tc>
          <w:tcPr>
            <w:tcW w:w="1843" w:type="dxa"/>
          </w:tcPr>
          <w:p w14:paraId="6AE41BEA" w14:textId="77777777" w:rsidR="00507882" w:rsidRPr="00507882" w:rsidRDefault="00507882" w:rsidP="00507882">
            <w:pPr>
              <w:spacing w:before="120" w:after="120"/>
              <w:ind w:left="40" w:right="175"/>
              <w:jc w:val="center"/>
              <w:rPr>
                <w:rFonts w:ascii="Arial" w:hAnsi="Arial" w:cs="Arial"/>
                <w:b/>
              </w:rPr>
            </w:pPr>
            <w:r w:rsidRPr="00507882">
              <w:rPr>
                <w:rFonts w:ascii="Arial" w:hAnsi="Arial" w:cs="Arial"/>
                <w:b/>
              </w:rPr>
              <w:t>Total</w:t>
            </w:r>
          </w:p>
        </w:tc>
      </w:tr>
      <w:tr w:rsidR="00507882" w:rsidRPr="00507882" w14:paraId="1B3347D5" w14:textId="77777777" w:rsidTr="00507882">
        <w:tc>
          <w:tcPr>
            <w:tcW w:w="704" w:type="dxa"/>
          </w:tcPr>
          <w:p w14:paraId="160E20E7" w14:textId="77777777" w:rsidR="00507882" w:rsidRPr="00507882" w:rsidRDefault="00507882" w:rsidP="00507882">
            <w:pPr>
              <w:spacing w:before="120" w:after="120"/>
              <w:ind w:right="33"/>
              <w:jc w:val="center"/>
              <w:rPr>
                <w:rFonts w:ascii="Arial" w:hAnsi="Arial" w:cs="Arial"/>
                <w:bCs/>
              </w:rPr>
            </w:pPr>
            <w:r w:rsidRPr="00507882">
              <w:rPr>
                <w:rFonts w:ascii="Arial" w:hAnsi="Arial" w:cs="Arial"/>
                <w:bCs/>
              </w:rPr>
              <w:t>1.</w:t>
            </w:r>
          </w:p>
        </w:tc>
        <w:tc>
          <w:tcPr>
            <w:tcW w:w="6379" w:type="dxa"/>
          </w:tcPr>
          <w:p w14:paraId="37110D0B" w14:textId="77777777" w:rsidR="00507882" w:rsidRPr="00507882" w:rsidRDefault="00507882" w:rsidP="00507882">
            <w:pPr>
              <w:spacing w:before="120" w:after="120"/>
              <w:rPr>
                <w:rFonts w:ascii="Arial" w:hAnsi="Arial" w:cs="Arial"/>
                <w:bCs/>
              </w:rPr>
            </w:pPr>
            <w:r w:rsidRPr="00507882">
              <w:rPr>
                <w:rFonts w:ascii="Arial" w:hAnsi="Arial" w:cs="Arial"/>
                <w:bCs/>
              </w:rPr>
              <w:t>Social media coverage - FB live on the event day</w:t>
            </w:r>
          </w:p>
        </w:tc>
        <w:tc>
          <w:tcPr>
            <w:tcW w:w="1843" w:type="dxa"/>
            <w:vMerge w:val="restart"/>
          </w:tcPr>
          <w:p w14:paraId="242E31A5" w14:textId="77777777" w:rsidR="00507882" w:rsidRPr="00507882" w:rsidRDefault="00507882" w:rsidP="00507882">
            <w:pPr>
              <w:spacing w:before="120" w:after="120"/>
              <w:ind w:right="29"/>
              <w:jc w:val="center"/>
              <w:rPr>
                <w:rFonts w:ascii="Arial" w:eastAsiaTheme="minorHAnsi" w:hAnsi="Arial" w:cs="Arial"/>
                <w:color w:val="000000"/>
              </w:rPr>
            </w:pPr>
            <w:r w:rsidRPr="00507882">
              <w:rPr>
                <w:rFonts w:ascii="Arial" w:eastAsiaTheme="minorHAnsi" w:hAnsi="Arial" w:cs="Arial"/>
                <w:color w:val="000000"/>
              </w:rPr>
              <w:t>RM14,950</w:t>
            </w:r>
          </w:p>
        </w:tc>
      </w:tr>
      <w:tr w:rsidR="00507882" w:rsidRPr="00507882" w14:paraId="1EFEA41B" w14:textId="77777777" w:rsidTr="00507882">
        <w:tc>
          <w:tcPr>
            <w:tcW w:w="704" w:type="dxa"/>
          </w:tcPr>
          <w:p w14:paraId="19577565" w14:textId="77777777" w:rsidR="00507882" w:rsidRPr="00507882" w:rsidRDefault="00507882" w:rsidP="00507882">
            <w:pPr>
              <w:spacing w:before="120" w:after="120"/>
              <w:ind w:right="33"/>
              <w:jc w:val="center"/>
              <w:rPr>
                <w:rFonts w:ascii="Arial" w:hAnsi="Arial" w:cs="Arial"/>
                <w:bCs/>
              </w:rPr>
            </w:pPr>
            <w:r w:rsidRPr="00507882">
              <w:rPr>
                <w:rFonts w:ascii="Arial" w:hAnsi="Arial" w:cs="Arial"/>
                <w:bCs/>
              </w:rPr>
              <w:t>2.</w:t>
            </w:r>
          </w:p>
        </w:tc>
        <w:tc>
          <w:tcPr>
            <w:tcW w:w="6379" w:type="dxa"/>
          </w:tcPr>
          <w:p w14:paraId="4B3F7450" w14:textId="77777777" w:rsidR="00507882" w:rsidRPr="00507882" w:rsidRDefault="00507882" w:rsidP="00507882">
            <w:pPr>
              <w:spacing w:before="120" w:after="120"/>
              <w:ind w:right="-113"/>
              <w:rPr>
                <w:rFonts w:ascii="Arial" w:hAnsi="Arial" w:cs="Arial"/>
                <w:bCs/>
              </w:rPr>
            </w:pPr>
            <w:r w:rsidRPr="00507882">
              <w:rPr>
                <w:rFonts w:ascii="Arial" w:hAnsi="Arial" w:cs="Arial"/>
                <w:bCs/>
              </w:rPr>
              <w:t>Preparation of media release</w:t>
            </w:r>
          </w:p>
        </w:tc>
        <w:tc>
          <w:tcPr>
            <w:tcW w:w="1843" w:type="dxa"/>
            <w:vMerge/>
          </w:tcPr>
          <w:p w14:paraId="5C5E0BFC" w14:textId="77777777" w:rsidR="00507882" w:rsidRPr="00507882" w:rsidRDefault="00507882" w:rsidP="00507882">
            <w:pPr>
              <w:spacing w:before="120" w:after="120"/>
              <w:ind w:right="29"/>
              <w:jc w:val="center"/>
              <w:rPr>
                <w:rFonts w:ascii="Arial" w:eastAsiaTheme="minorHAnsi" w:hAnsi="Arial" w:cs="Arial"/>
                <w:color w:val="000000"/>
              </w:rPr>
            </w:pPr>
          </w:p>
        </w:tc>
      </w:tr>
      <w:tr w:rsidR="00507882" w:rsidRPr="00507882" w14:paraId="0FB47788" w14:textId="77777777" w:rsidTr="00507882">
        <w:tc>
          <w:tcPr>
            <w:tcW w:w="704" w:type="dxa"/>
          </w:tcPr>
          <w:p w14:paraId="29EA6651" w14:textId="77777777" w:rsidR="00507882" w:rsidRPr="00507882" w:rsidRDefault="00507882" w:rsidP="00507882">
            <w:pPr>
              <w:spacing w:before="120" w:after="120"/>
              <w:ind w:right="33"/>
              <w:jc w:val="center"/>
              <w:rPr>
                <w:rFonts w:ascii="Arial" w:hAnsi="Arial" w:cs="Arial"/>
                <w:bCs/>
              </w:rPr>
            </w:pPr>
            <w:r w:rsidRPr="00507882">
              <w:rPr>
                <w:rFonts w:ascii="Arial" w:hAnsi="Arial" w:cs="Arial"/>
                <w:bCs/>
              </w:rPr>
              <w:t>3.</w:t>
            </w:r>
          </w:p>
        </w:tc>
        <w:tc>
          <w:tcPr>
            <w:tcW w:w="6379" w:type="dxa"/>
          </w:tcPr>
          <w:p w14:paraId="20640858" w14:textId="77777777" w:rsidR="00507882" w:rsidRPr="00507882" w:rsidRDefault="00507882" w:rsidP="00507882">
            <w:pPr>
              <w:spacing w:before="120" w:after="120"/>
              <w:rPr>
                <w:rFonts w:ascii="Arial" w:hAnsi="Arial" w:cs="Arial"/>
                <w:bCs/>
              </w:rPr>
            </w:pPr>
            <w:r w:rsidRPr="00507882">
              <w:rPr>
                <w:rFonts w:ascii="Arial" w:hAnsi="Arial" w:cs="Arial"/>
                <w:bCs/>
              </w:rPr>
              <w:t>Articles writing</w:t>
            </w:r>
          </w:p>
        </w:tc>
        <w:tc>
          <w:tcPr>
            <w:tcW w:w="1843" w:type="dxa"/>
            <w:vMerge/>
          </w:tcPr>
          <w:p w14:paraId="38A0E66B" w14:textId="77777777" w:rsidR="00507882" w:rsidRPr="00507882" w:rsidRDefault="00507882" w:rsidP="00507882">
            <w:pPr>
              <w:spacing w:before="120" w:after="120"/>
              <w:ind w:right="29"/>
              <w:jc w:val="center"/>
              <w:rPr>
                <w:rFonts w:ascii="Arial" w:eastAsiaTheme="minorHAnsi" w:hAnsi="Arial" w:cs="Arial"/>
                <w:color w:val="000000"/>
              </w:rPr>
            </w:pPr>
          </w:p>
        </w:tc>
      </w:tr>
      <w:tr w:rsidR="00507882" w:rsidRPr="00507882" w14:paraId="68EA1BDC" w14:textId="77777777" w:rsidTr="00507882">
        <w:tc>
          <w:tcPr>
            <w:tcW w:w="704" w:type="dxa"/>
          </w:tcPr>
          <w:p w14:paraId="195A5C06" w14:textId="77777777" w:rsidR="00507882" w:rsidRPr="00507882" w:rsidRDefault="00507882" w:rsidP="00507882">
            <w:pPr>
              <w:spacing w:before="120" w:after="120"/>
              <w:ind w:right="33"/>
              <w:jc w:val="center"/>
              <w:rPr>
                <w:rFonts w:ascii="Arial" w:hAnsi="Arial" w:cs="Arial"/>
                <w:bCs/>
              </w:rPr>
            </w:pPr>
            <w:r w:rsidRPr="00507882">
              <w:rPr>
                <w:rFonts w:ascii="Arial" w:hAnsi="Arial" w:cs="Arial"/>
                <w:bCs/>
              </w:rPr>
              <w:t>4.</w:t>
            </w:r>
          </w:p>
        </w:tc>
        <w:tc>
          <w:tcPr>
            <w:tcW w:w="6379" w:type="dxa"/>
          </w:tcPr>
          <w:p w14:paraId="3A890DD3" w14:textId="77777777" w:rsidR="00507882" w:rsidRPr="00507882" w:rsidRDefault="00507882" w:rsidP="00507882">
            <w:pPr>
              <w:spacing w:before="120" w:after="120"/>
              <w:rPr>
                <w:rFonts w:ascii="Arial" w:hAnsi="Arial" w:cs="Arial"/>
                <w:bCs/>
              </w:rPr>
            </w:pPr>
            <w:r w:rsidRPr="00507882">
              <w:rPr>
                <w:rFonts w:ascii="Arial" w:hAnsi="Arial" w:cs="Arial"/>
                <w:bCs/>
              </w:rPr>
              <w:t>Preparation of design, concept and artwork development of posters &amp; brochures</w:t>
            </w:r>
          </w:p>
        </w:tc>
        <w:tc>
          <w:tcPr>
            <w:tcW w:w="1843" w:type="dxa"/>
            <w:vMerge/>
          </w:tcPr>
          <w:p w14:paraId="36E4219C" w14:textId="77777777" w:rsidR="00507882" w:rsidRPr="00507882" w:rsidRDefault="00507882" w:rsidP="00507882">
            <w:pPr>
              <w:spacing w:before="120" w:after="120"/>
              <w:ind w:right="29"/>
              <w:jc w:val="center"/>
              <w:rPr>
                <w:rFonts w:ascii="Arial" w:eastAsiaTheme="minorHAnsi" w:hAnsi="Arial" w:cs="Arial"/>
                <w:color w:val="000000"/>
              </w:rPr>
            </w:pPr>
          </w:p>
        </w:tc>
      </w:tr>
      <w:tr w:rsidR="00507882" w:rsidRPr="00507882" w14:paraId="6FEAE67C" w14:textId="77777777" w:rsidTr="00507882">
        <w:tc>
          <w:tcPr>
            <w:tcW w:w="704" w:type="dxa"/>
          </w:tcPr>
          <w:p w14:paraId="783BBDFB" w14:textId="77777777" w:rsidR="00507882" w:rsidRPr="00507882" w:rsidRDefault="00507882" w:rsidP="00507882">
            <w:pPr>
              <w:spacing w:before="120" w:after="120"/>
              <w:ind w:right="33"/>
              <w:jc w:val="center"/>
              <w:rPr>
                <w:rFonts w:ascii="Arial" w:hAnsi="Arial" w:cs="Arial"/>
                <w:bCs/>
              </w:rPr>
            </w:pPr>
            <w:r w:rsidRPr="00507882">
              <w:rPr>
                <w:rFonts w:ascii="Arial" w:hAnsi="Arial" w:cs="Arial"/>
                <w:bCs/>
              </w:rPr>
              <w:t>5.</w:t>
            </w:r>
          </w:p>
        </w:tc>
        <w:tc>
          <w:tcPr>
            <w:tcW w:w="6379" w:type="dxa"/>
          </w:tcPr>
          <w:p w14:paraId="26F43814" w14:textId="77777777" w:rsidR="00507882" w:rsidRPr="00507882" w:rsidRDefault="00507882" w:rsidP="00507882">
            <w:pPr>
              <w:spacing w:before="120" w:after="120"/>
              <w:rPr>
                <w:rFonts w:ascii="Arial" w:hAnsi="Arial" w:cs="Arial"/>
                <w:bCs/>
              </w:rPr>
            </w:pPr>
            <w:r w:rsidRPr="00507882">
              <w:rPr>
                <w:rFonts w:ascii="Arial" w:hAnsi="Arial" w:cs="Arial"/>
                <w:bCs/>
              </w:rPr>
              <w:t>Preparation of Multimedia Presentation/Montage on MOU signing between MPC – IEM TC</w:t>
            </w:r>
          </w:p>
        </w:tc>
        <w:tc>
          <w:tcPr>
            <w:tcW w:w="1843" w:type="dxa"/>
            <w:vMerge/>
          </w:tcPr>
          <w:p w14:paraId="02180E58" w14:textId="77777777" w:rsidR="00507882" w:rsidRPr="00507882" w:rsidRDefault="00507882" w:rsidP="00507882">
            <w:pPr>
              <w:spacing w:before="120" w:after="120"/>
              <w:ind w:right="29"/>
              <w:jc w:val="center"/>
              <w:rPr>
                <w:rFonts w:ascii="Arial" w:eastAsiaTheme="minorHAnsi" w:hAnsi="Arial" w:cs="Arial"/>
                <w:color w:val="000000"/>
              </w:rPr>
            </w:pPr>
          </w:p>
        </w:tc>
      </w:tr>
    </w:tbl>
    <w:bookmarkEnd w:id="1"/>
    <w:p w14:paraId="65716FC2" w14:textId="45DC60A3" w:rsidR="005A28EC" w:rsidRDefault="00664E1E" w:rsidP="00A77228">
      <w:pPr>
        <w:spacing w:line="276" w:lineRule="auto"/>
        <w:ind w:left="-709" w:right="-588"/>
        <w:jc w:val="both"/>
        <w:rPr>
          <w:rFonts w:ascii="Arial" w:eastAsiaTheme="minorHAnsi" w:hAnsi="Arial" w:cs="Arial"/>
          <w:color w:val="000000"/>
          <w:lang w:val="en-MY"/>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proofErr w:type="spellStart"/>
      <w:r w:rsidRPr="00105222">
        <w:rPr>
          <w:rFonts w:ascii="Arial" w:hAnsi="Arial" w:cs="Arial"/>
          <w:i/>
          <w:sz w:val="16"/>
          <w:szCs w:val="16"/>
        </w:rPr>
        <w:t>Garis</w:t>
      </w:r>
      <w:proofErr w:type="spellEnd"/>
      <w:r w:rsidRPr="00105222">
        <w:rPr>
          <w:rFonts w:ascii="Arial" w:hAnsi="Arial" w:cs="Arial"/>
          <w:i/>
          <w:sz w:val="16"/>
          <w:szCs w:val="16"/>
        </w:rPr>
        <w:t xml:space="preserve"> Panduan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Penyedia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Khidmat</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Pakar</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aktiviti-aktiviti</w:t>
      </w:r>
      <w:proofErr w:type="spellEnd"/>
      <w:r w:rsidRPr="00105222">
        <w:rPr>
          <w:rFonts w:ascii="Arial" w:hAnsi="Arial" w:cs="Arial"/>
          <w:i/>
          <w:sz w:val="16"/>
          <w:szCs w:val="16"/>
        </w:rPr>
        <w:t xml:space="preserve"> di </w:t>
      </w:r>
      <w:proofErr w:type="spellStart"/>
      <w:r w:rsidRPr="00105222">
        <w:rPr>
          <w:rFonts w:ascii="Arial" w:hAnsi="Arial" w:cs="Arial"/>
          <w:i/>
          <w:sz w:val="16"/>
          <w:szCs w:val="16"/>
        </w:rPr>
        <w:t>bawah</w:t>
      </w:r>
      <w:proofErr w:type="spellEnd"/>
      <w:r w:rsidRPr="00105222">
        <w:rPr>
          <w:rFonts w:ascii="Arial" w:hAnsi="Arial" w:cs="Arial"/>
          <w:i/>
          <w:sz w:val="16"/>
          <w:szCs w:val="16"/>
        </w:rPr>
        <w:t xml:space="preserve"> Nexus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Blueprint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Malaysia and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Perkhidmatan</w:t>
      </w:r>
      <w:proofErr w:type="spellEnd"/>
      <w:r w:rsidRPr="00105222">
        <w:rPr>
          <w:rFonts w:ascii="Arial" w:hAnsi="Arial" w:cs="Arial"/>
          <w:i/>
          <w:sz w:val="16"/>
          <w:szCs w:val="16"/>
        </w:rPr>
        <w:t xml:space="preserve"> Baharu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program </w:t>
      </w:r>
      <w:proofErr w:type="spellStart"/>
      <w:r w:rsidRPr="00105222">
        <w:rPr>
          <w:rFonts w:ascii="Arial" w:hAnsi="Arial" w:cs="Arial"/>
          <w:i/>
          <w:sz w:val="16"/>
          <w:szCs w:val="16"/>
        </w:rPr>
        <w:t>dianjurkan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secara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atas</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talian</w:t>
      </w:r>
      <w:proofErr w:type="spellEnd"/>
      <w:r w:rsidRPr="00105222">
        <w:rPr>
          <w:rFonts w:ascii="Arial" w:hAnsi="Arial" w:cs="Arial"/>
          <w:i/>
          <w:sz w:val="16"/>
          <w:szCs w:val="16"/>
        </w:rPr>
        <w:t xml:space="preserve"> / online.</w:t>
      </w:r>
    </w:p>
    <w:p w14:paraId="28661650" w14:textId="77777777" w:rsidR="00DC4658" w:rsidRPr="00CA693C" w:rsidRDefault="00DC4658" w:rsidP="00DC4658">
      <w:pPr>
        <w:spacing w:line="276" w:lineRule="auto"/>
        <w:ind w:right="-304"/>
        <w:jc w:val="both"/>
        <w:rPr>
          <w:rFonts w:ascii="Arial" w:hAnsi="Arial" w:cs="Arial"/>
          <w:b/>
          <w:sz w:val="12"/>
          <w:szCs w:val="12"/>
        </w:rPr>
      </w:pPr>
    </w:p>
    <w:p w14:paraId="68EF24D7" w14:textId="0E686F96" w:rsidR="002205D0" w:rsidRDefault="002205D0" w:rsidP="00DC4658">
      <w:pPr>
        <w:spacing w:line="276" w:lineRule="auto"/>
        <w:ind w:right="-304"/>
        <w:jc w:val="both"/>
        <w:rPr>
          <w:rFonts w:ascii="Arial" w:hAnsi="Arial" w:cs="Arial"/>
          <w:b/>
        </w:rPr>
      </w:pPr>
    </w:p>
    <w:p w14:paraId="578D7401" w14:textId="77777777" w:rsidR="00507882" w:rsidRDefault="00507882" w:rsidP="00DC4658">
      <w:pPr>
        <w:spacing w:line="276" w:lineRule="auto"/>
        <w:ind w:right="-304"/>
        <w:jc w:val="both"/>
        <w:rPr>
          <w:rFonts w:ascii="Arial" w:hAnsi="Arial" w:cs="Arial"/>
          <w:b/>
        </w:rPr>
      </w:pPr>
      <w:bookmarkStart w:id="2" w:name="_GoBack"/>
      <w:bookmarkEnd w:id="2"/>
    </w:p>
    <w:p w14:paraId="7DD14882" w14:textId="77777777" w:rsidR="002205D0" w:rsidRDefault="002205D0" w:rsidP="00DC4658">
      <w:pPr>
        <w:spacing w:line="276" w:lineRule="auto"/>
        <w:ind w:right="-304"/>
        <w:jc w:val="both"/>
        <w:rPr>
          <w:rFonts w:ascii="Arial" w:hAnsi="Arial" w:cs="Arial"/>
          <w:b/>
        </w:rPr>
      </w:pPr>
    </w:p>
    <w:p w14:paraId="1404B463" w14:textId="396549E9" w:rsidR="00EC7A46" w:rsidRDefault="006E7C79" w:rsidP="00DC4658">
      <w:pPr>
        <w:spacing w:line="276" w:lineRule="auto"/>
        <w:ind w:right="-304"/>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774F7D">
      <w:footerReference w:type="default" r:id="rId9"/>
      <w:pgSz w:w="11907" w:h="16839" w:code="9"/>
      <w:pgMar w:top="0" w:right="1197" w:bottom="0" w:left="1800" w:header="720" w:footer="4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33B4" w14:textId="77777777" w:rsidR="00267557" w:rsidRDefault="00267557" w:rsidP="009900F9">
      <w:r>
        <w:separator/>
      </w:r>
    </w:p>
  </w:endnote>
  <w:endnote w:type="continuationSeparator" w:id="0">
    <w:p w14:paraId="1C10B96D" w14:textId="77777777" w:rsidR="00267557" w:rsidRDefault="00267557"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157297"/>
      <w:docPartObj>
        <w:docPartGallery w:val="Page Numbers (Bottom of Page)"/>
        <w:docPartUnique/>
      </w:docPartObj>
    </w:sdtPr>
    <w:sdtEndPr>
      <w:rPr>
        <w:noProof/>
      </w:rPr>
    </w:sdtEndPr>
    <w:sdtContent>
      <w:p w14:paraId="0D782D0B" w14:textId="71A3AC2B" w:rsidR="00774F7D" w:rsidRDefault="00774F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5BEE9F" w14:textId="77777777" w:rsidR="00774F7D" w:rsidRDefault="0077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A4DB4" w14:textId="77777777" w:rsidR="00267557" w:rsidRDefault="00267557" w:rsidP="009900F9">
      <w:r>
        <w:separator/>
      </w:r>
    </w:p>
  </w:footnote>
  <w:footnote w:type="continuationSeparator" w:id="0">
    <w:p w14:paraId="77CD2EDC" w14:textId="77777777" w:rsidR="00267557" w:rsidRDefault="00267557"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8C7"/>
    <w:multiLevelType w:val="multilevel"/>
    <w:tmpl w:val="85F2079E"/>
    <w:lvl w:ilvl="0">
      <w:start w:val="3"/>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9945A48"/>
    <w:multiLevelType w:val="hybridMultilevel"/>
    <w:tmpl w:val="F8BE2614"/>
    <w:lvl w:ilvl="0" w:tplc="1816699C">
      <w:start w:val="1"/>
      <w:numFmt w:val="decimal"/>
      <w:lvlText w:val="%1."/>
      <w:lvlJc w:val="left"/>
      <w:pPr>
        <w:ind w:left="1429" w:hanging="72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5" w15:restartNumberingAfterBreak="0">
    <w:nsid w:val="34101152"/>
    <w:multiLevelType w:val="hybridMultilevel"/>
    <w:tmpl w:val="4906D260"/>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 w15:restartNumberingAfterBreak="0">
    <w:nsid w:val="3D7B51A4"/>
    <w:multiLevelType w:val="multilevel"/>
    <w:tmpl w:val="7FB01B8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9415AC7"/>
    <w:multiLevelType w:val="hybridMultilevel"/>
    <w:tmpl w:val="BBCADFC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4BE6951"/>
    <w:multiLevelType w:val="multilevel"/>
    <w:tmpl w:val="35BE314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D53BCF"/>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11"/>
  </w:num>
  <w:num w:numId="4">
    <w:abstractNumId w:val="8"/>
  </w:num>
  <w:num w:numId="5">
    <w:abstractNumId w:val="7"/>
  </w:num>
  <w:num w:numId="6">
    <w:abstractNumId w:val="10"/>
  </w:num>
  <w:num w:numId="7">
    <w:abstractNumId w:val="1"/>
  </w:num>
  <w:num w:numId="8">
    <w:abstractNumId w:val="0"/>
  </w:num>
  <w:num w:numId="9">
    <w:abstractNumId w:val="5"/>
  </w:num>
  <w:num w:numId="10">
    <w:abstractNumId w:val="4"/>
  </w:num>
  <w:num w:numId="11">
    <w:abstractNumId w:val="9"/>
  </w:num>
  <w:num w:numId="12">
    <w:abstractNumId w:val="13"/>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64440"/>
    <w:rsid w:val="000A6AEA"/>
    <w:rsid w:val="000E5C09"/>
    <w:rsid w:val="00105222"/>
    <w:rsid w:val="001321C4"/>
    <w:rsid w:val="001678B5"/>
    <w:rsid w:val="001C0A4D"/>
    <w:rsid w:val="00210450"/>
    <w:rsid w:val="002205D0"/>
    <w:rsid w:val="00266D2D"/>
    <w:rsid w:val="00267557"/>
    <w:rsid w:val="00281E46"/>
    <w:rsid w:val="00286F85"/>
    <w:rsid w:val="002D3767"/>
    <w:rsid w:val="002E17BF"/>
    <w:rsid w:val="003143ED"/>
    <w:rsid w:val="00336E1E"/>
    <w:rsid w:val="00352DDC"/>
    <w:rsid w:val="00450ECC"/>
    <w:rsid w:val="004836CB"/>
    <w:rsid w:val="00485492"/>
    <w:rsid w:val="004A2790"/>
    <w:rsid w:val="004A3913"/>
    <w:rsid w:val="00507882"/>
    <w:rsid w:val="005A28EC"/>
    <w:rsid w:val="005C29D9"/>
    <w:rsid w:val="005C4AA4"/>
    <w:rsid w:val="005E26B5"/>
    <w:rsid w:val="00641AB6"/>
    <w:rsid w:val="006466BD"/>
    <w:rsid w:val="00664E1E"/>
    <w:rsid w:val="00674F0E"/>
    <w:rsid w:val="006A4B3C"/>
    <w:rsid w:val="006E7C79"/>
    <w:rsid w:val="00732502"/>
    <w:rsid w:val="00733C02"/>
    <w:rsid w:val="00740AED"/>
    <w:rsid w:val="00753EBD"/>
    <w:rsid w:val="00755B9E"/>
    <w:rsid w:val="007644F6"/>
    <w:rsid w:val="00774F7D"/>
    <w:rsid w:val="007C2ED4"/>
    <w:rsid w:val="008377CD"/>
    <w:rsid w:val="00894630"/>
    <w:rsid w:val="00910CBC"/>
    <w:rsid w:val="0096191F"/>
    <w:rsid w:val="009900F9"/>
    <w:rsid w:val="00990E94"/>
    <w:rsid w:val="009B6D2A"/>
    <w:rsid w:val="009C6E78"/>
    <w:rsid w:val="00A00739"/>
    <w:rsid w:val="00A274C2"/>
    <w:rsid w:val="00A75BA8"/>
    <w:rsid w:val="00A77228"/>
    <w:rsid w:val="00A80515"/>
    <w:rsid w:val="00A96AD8"/>
    <w:rsid w:val="00AD5E94"/>
    <w:rsid w:val="00AE50D5"/>
    <w:rsid w:val="00AF5840"/>
    <w:rsid w:val="00BE17AE"/>
    <w:rsid w:val="00C66FDD"/>
    <w:rsid w:val="00CA693C"/>
    <w:rsid w:val="00CD5A19"/>
    <w:rsid w:val="00CE3B08"/>
    <w:rsid w:val="00CF7502"/>
    <w:rsid w:val="00D20CFC"/>
    <w:rsid w:val="00D50F81"/>
    <w:rsid w:val="00D52417"/>
    <w:rsid w:val="00D869AA"/>
    <w:rsid w:val="00D9205F"/>
    <w:rsid w:val="00DC0D28"/>
    <w:rsid w:val="00DC4658"/>
    <w:rsid w:val="00DF2CED"/>
    <w:rsid w:val="00E8315B"/>
    <w:rsid w:val="00EC7A46"/>
    <w:rsid w:val="00ED397E"/>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27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7124">
      <w:bodyDiv w:val="1"/>
      <w:marLeft w:val="0"/>
      <w:marRight w:val="0"/>
      <w:marTop w:val="0"/>
      <w:marBottom w:val="0"/>
      <w:divBdr>
        <w:top w:val="none" w:sz="0" w:space="0" w:color="auto"/>
        <w:left w:val="none" w:sz="0" w:space="0" w:color="auto"/>
        <w:bottom w:val="none" w:sz="0" w:space="0" w:color="auto"/>
        <w:right w:val="none" w:sz="0" w:space="0" w:color="auto"/>
      </w:divBdr>
    </w:div>
    <w:div w:id="10010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FE35-B538-407D-92CE-BE9F967E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23</cp:revision>
  <cp:lastPrinted>2020-07-07T07:25:00Z</cp:lastPrinted>
  <dcterms:created xsi:type="dcterms:W3CDTF">2020-10-14T05:32:00Z</dcterms:created>
  <dcterms:modified xsi:type="dcterms:W3CDTF">2020-11-10T01:43:00Z</dcterms:modified>
</cp:coreProperties>
</file>