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51A8255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3F3EFC">
        <w:rPr>
          <w:rFonts w:cs="Arial"/>
          <w:sz w:val="22"/>
          <w:szCs w:val="22"/>
          <w:lang w:eastAsia="en-MY"/>
        </w:rPr>
        <w:t>53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E887CA2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Ir. Riwayat Bin Mansur</w:t>
      </w:r>
    </w:p>
    <w:p w14:paraId="252215C4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Andal Consult PTL</w:t>
      </w:r>
    </w:p>
    <w:p w14:paraId="27A9BB8C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18-2 Jalan Bidara 7/1</w:t>
      </w:r>
    </w:p>
    <w:p w14:paraId="358CBE4E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Bandar Saujana Utama</w:t>
      </w:r>
    </w:p>
    <w:p w14:paraId="736D8502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47000 Sungai Buloh</w:t>
      </w:r>
    </w:p>
    <w:p w14:paraId="235A42B3" w14:textId="4B94934A" w:rsid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Selangor Darul Ehsan</w:t>
      </w:r>
      <w:bookmarkStart w:id="0" w:name="_GoBack"/>
      <w:bookmarkEnd w:id="0"/>
    </w:p>
    <w:p w14:paraId="7BC92612" w14:textId="77777777" w:rsidR="00EF4B06" w:rsidRDefault="00EF4B06" w:rsidP="000C500F">
      <w:pPr>
        <w:rPr>
          <w:rFonts w:cs="Arial"/>
          <w:lang w:val="fi-FI"/>
        </w:rPr>
      </w:pPr>
    </w:p>
    <w:p w14:paraId="4D646433" w14:textId="58BD934F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5C3478FF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3F3EFC">
        <w:rPr>
          <w:rFonts w:cs="Arial"/>
          <w:szCs w:val="22"/>
          <w:lang w:val="fi-FI"/>
        </w:rPr>
        <w:t>SEMBILAN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3C3ECC9A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3EFC">
              <w:rPr>
                <w:rFonts w:cs="Arial"/>
                <w:b/>
                <w:color w:val="000000"/>
                <w:sz w:val="22"/>
                <w:szCs w:val="22"/>
              </w:rPr>
              <w:t>Negeri Sembilan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1F3974CD" w:rsidR="000C500F" w:rsidRPr="003F3EFC" w:rsidRDefault="000C500F" w:rsidP="000C500F">
      <w:pPr>
        <w:spacing w:line="276" w:lineRule="auto"/>
        <w:jc w:val="both"/>
        <w:rPr>
          <w:rFonts w:cs="Arial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3F3EFC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3F3EFC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83B35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AE0E63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B5BE5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4B06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D54DB-CDD9-45B5-96B3-C0DBE6DA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2020-11-12T17:22:00Z</dcterms:created>
  <dcterms:modified xsi:type="dcterms:W3CDTF">2020-11-12T17:22:00Z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