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42ED" w14:textId="4BCD67A8" w:rsidR="008854DD" w:rsidRPr="00B30850" w:rsidRDefault="005A2976" w:rsidP="006069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RINGKASAN EKSEKUTIF</w:t>
      </w:r>
    </w:p>
    <w:p w14:paraId="604A58E9" w14:textId="77777777" w:rsidR="008854DD" w:rsidRDefault="008854DD" w:rsidP="006069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298"/>
        <w:gridCol w:w="5691"/>
      </w:tblGrid>
      <w:tr w:rsidR="009F7085" w:rsidRPr="00B30850" w14:paraId="7292996E" w14:textId="77777777" w:rsidTr="00A06E12">
        <w:tc>
          <w:tcPr>
            <w:tcW w:w="3030" w:type="dxa"/>
          </w:tcPr>
          <w:p w14:paraId="1F41C22E" w14:textId="77299E34" w:rsidR="009F7085" w:rsidRPr="00B30850" w:rsidRDefault="009F7085" w:rsidP="006069C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A2976">
              <w:rPr>
                <w:rFonts w:ascii="Arial" w:hAnsi="Arial" w:cs="Arial"/>
                <w:b/>
                <w:sz w:val="24"/>
                <w:szCs w:val="24"/>
              </w:rPr>
              <w:t>AJUK</w:t>
            </w:r>
          </w:p>
        </w:tc>
        <w:tc>
          <w:tcPr>
            <w:tcW w:w="298" w:type="dxa"/>
          </w:tcPr>
          <w:p w14:paraId="38C328E4" w14:textId="6260A5BB" w:rsidR="00882607" w:rsidRPr="00A06E12" w:rsidRDefault="00A06E12" w:rsidP="006069C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6E1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320485ED" w14:textId="34A8FDCF" w:rsidR="00592C64" w:rsidRPr="00B30850" w:rsidRDefault="00A06E12" w:rsidP="006069C6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Pelanjutan</w:t>
            </w:r>
            <w:proofErr w:type="spellEnd"/>
            <w:r w:rsidR="004052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2139B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0524B">
              <w:rPr>
                <w:rFonts w:ascii="Arial" w:hAnsi="Arial" w:cs="Arial"/>
                <w:b/>
                <w:sz w:val="24"/>
                <w:szCs w:val="24"/>
              </w:rPr>
              <w:t>empoh</w:t>
            </w:r>
            <w:proofErr w:type="spellEnd"/>
            <w:r w:rsidR="004052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2139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0524B">
              <w:rPr>
                <w:rFonts w:ascii="Arial" w:hAnsi="Arial" w:cs="Arial"/>
                <w:b/>
                <w:sz w:val="24"/>
                <w:szCs w:val="24"/>
              </w:rPr>
              <w:t>rojek</w:t>
            </w:r>
            <w:proofErr w:type="spellEnd"/>
            <w:r w:rsidR="0040524B"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 w:rsidR="0082139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9725E">
              <w:rPr>
                <w:rFonts w:ascii="Arial" w:hAnsi="Arial" w:cs="Arial"/>
                <w:b/>
                <w:sz w:val="24"/>
                <w:szCs w:val="24"/>
              </w:rPr>
              <w:t>embayaran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Kedua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Ketiga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bagi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projek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74F8" w:rsidRPr="0079725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“Enforcing Contracts:  Solicitors’ Fees - Moving Forward”</w:t>
            </w:r>
          </w:p>
        </w:tc>
      </w:tr>
      <w:tr w:rsidR="009F7085" w:rsidRPr="00B30850" w14:paraId="3AA2D8ED" w14:textId="77777777" w:rsidTr="00A06E12">
        <w:tc>
          <w:tcPr>
            <w:tcW w:w="3030" w:type="dxa"/>
          </w:tcPr>
          <w:p w14:paraId="7D1503F9" w14:textId="7DBEDF82" w:rsidR="009F7085" w:rsidRPr="00B30850" w:rsidRDefault="005A2976" w:rsidP="006069C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TARIKH &amp; TEMPAT</w:t>
            </w:r>
          </w:p>
        </w:tc>
        <w:tc>
          <w:tcPr>
            <w:tcW w:w="298" w:type="dxa"/>
          </w:tcPr>
          <w:p w14:paraId="2A4660C5" w14:textId="30C2ED79" w:rsidR="009F7085" w:rsidRPr="00A06E12" w:rsidRDefault="00A06E12" w:rsidP="006069C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6E1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68FB1C09" w14:textId="7C26BB72" w:rsidR="009F7085" w:rsidRPr="00B30850" w:rsidRDefault="00BD16CB" w:rsidP="006069C6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r w:rsidR="007021B1">
              <w:rPr>
                <w:rFonts w:ascii="Arial" w:hAnsi="Arial" w:cs="Arial"/>
                <w:b/>
                <w:sz w:val="24"/>
                <w:szCs w:val="24"/>
              </w:rPr>
              <w:t>Januari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7021B1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9F47C0">
              <w:rPr>
                <w:rFonts w:ascii="Arial" w:hAnsi="Arial" w:cs="Arial"/>
                <w:b/>
                <w:sz w:val="24"/>
                <w:szCs w:val="24"/>
              </w:rPr>
              <w:t xml:space="preserve">31 </w:t>
            </w:r>
            <w:r>
              <w:rPr>
                <w:rFonts w:ascii="Arial" w:hAnsi="Arial" w:cs="Arial"/>
                <w:b/>
                <w:sz w:val="24"/>
                <w:szCs w:val="24"/>
              </w:rPr>
              <w:t>Mac 2021</w:t>
            </w:r>
          </w:p>
          <w:p w14:paraId="45ADE123" w14:textId="20784011" w:rsidR="00592C64" w:rsidRPr="00B30850" w:rsidRDefault="0079725E" w:rsidP="0079725E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Tempat</w:t>
            </w:r>
            <w:proofErr w:type="spellEnd"/>
            <w:r w:rsidR="008854DD" w:rsidRPr="00B3085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92C64" w:rsidRPr="00B3085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Petaling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Jaya, Selangor</w:t>
            </w:r>
          </w:p>
        </w:tc>
      </w:tr>
      <w:tr w:rsidR="00A06E12" w:rsidRPr="00B30850" w14:paraId="7636A53B" w14:textId="77777777" w:rsidTr="00A06E12">
        <w:tc>
          <w:tcPr>
            <w:tcW w:w="3030" w:type="dxa"/>
          </w:tcPr>
          <w:p w14:paraId="1468D471" w14:textId="0A21C86E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OBJE</w:t>
            </w:r>
            <w:r>
              <w:rPr>
                <w:rFonts w:ascii="Arial" w:hAnsi="Arial" w:cs="Arial"/>
                <w:b/>
                <w:sz w:val="24"/>
                <w:szCs w:val="24"/>
              </w:rPr>
              <w:t>KTIF</w:t>
            </w:r>
          </w:p>
        </w:tc>
        <w:tc>
          <w:tcPr>
            <w:tcW w:w="298" w:type="dxa"/>
          </w:tcPr>
          <w:p w14:paraId="14AAAC73" w14:textId="739629ED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72A6707F" w14:textId="56FE7F0F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memastikan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bilangan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responden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boleh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mewakili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populasi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peguam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tersebut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06E12" w:rsidRPr="00B30850" w14:paraId="599BB1AC" w14:textId="77777777" w:rsidTr="00A06E12">
        <w:tc>
          <w:tcPr>
            <w:tcW w:w="3030" w:type="dxa"/>
          </w:tcPr>
          <w:p w14:paraId="296DB442" w14:textId="77777777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298" w:type="dxa"/>
          </w:tcPr>
          <w:p w14:paraId="70A90A23" w14:textId="62D363FA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1FF6C978" w14:textId="1247D52E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Menghasilkan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rujukan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data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sebagai</w:t>
            </w:r>
            <w:proofErr w:type="spellEnd"/>
            <w:r w:rsidRPr="005A29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panduan</w:t>
            </w:r>
            <w:proofErr w:type="spellEnd"/>
            <w:r w:rsidRPr="005A2976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amalan</w:t>
            </w:r>
            <w:proofErr w:type="spellEnd"/>
            <w:r w:rsidRPr="005A29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terbaik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pengamal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di Malaysia.</w:t>
            </w:r>
          </w:p>
        </w:tc>
      </w:tr>
      <w:tr w:rsidR="00A06E12" w:rsidRPr="00B30850" w14:paraId="550AA396" w14:textId="77777777" w:rsidTr="00A06E12">
        <w:trPr>
          <w:trHeight w:val="602"/>
        </w:trPr>
        <w:tc>
          <w:tcPr>
            <w:tcW w:w="3030" w:type="dxa"/>
          </w:tcPr>
          <w:p w14:paraId="44FBEC59" w14:textId="5B7B1A7F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KOORDINATOR PROJEK</w:t>
            </w:r>
          </w:p>
        </w:tc>
        <w:tc>
          <w:tcPr>
            <w:tcW w:w="298" w:type="dxa"/>
          </w:tcPr>
          <w:p w14:paraId="0FA6FC82" w14:textId="62AF69D3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1431C977" w14:textId="77777777" w:rsidR="00A06E12" w:rsidRPr="00BE3CCA" w:rsidRDefault="00A06E12" w:rsidP="00A06E12">
            <w:pPr>
              <w:spacing w:line="360" w:lineRule="auto"/>
              <w:ind w:left="583" w:hanging="42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MPC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Berhad</w:t>
            </w:r>
            <w:proofErr w:type="spellEnd"/>
          </w:p>
        </w:tc>
      </w:tr>
      <w:tr w:rsidR="00A06E12" w:rsidRPr="00B30850" w14:paraId="32DC6241" w14:textId="77777777" w:rsidTr="00A06E12">
        <w:trPr>
          <w:trHeight w:val="998"/>
        </w:trPr>
        <w:tc>
          <w:tcPr>
            <w:tcW w:w="3030" w:type="dxa"/>
          </w:tcPr>
          <w:p w14:paraId="143284AA" w14:textId="79A8A2C8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 KOS</w:t>
            </w:r>
          </w:p>
        </w:tc>
        <w:tc>
          <w:tcPr>
            <w:tcW w:w="298" w:type="dxa"/>
          </w:tcPr>
          <w:p w14:paraId="7118390F" w14:textId="7E7BB517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54D772C5" w14:textId="77777777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Baki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Kedua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Ketiga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951E358" w14:textId="4F24E0F8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r w:rsidRPr="0040524B">
              <w:rPr>
                <w:rFonts w:ascii="Arial" w:hAnsi="Arial" w:cs="Arial"/>
                <w:b/>
                <w:sz w:val="24"/>
                <w:szCs w:val="24"/>
              </w:rPr>
              <w:t xml:space="preserve">RM104,617.80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MPC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Berhad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658B7A36" w14:textId="73A5147F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6E12" w:rsidRPr="00B30850" w14:paraId="0AA538E1" w14:textId="77777777" w:rsidTr="00A06E12">
        <w:trPr>
          <w:trHeight w:val="368"/>
        </w:trPr>
        <w:tc>
          <w:tcPr>
            <w:tcW w:w="3030" w:type="dxa"/>
          </w:tcPr>
          <w:p w14:paraId="4BB21C06" w14:textId="1FD4BA41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>AJET</w:t>
            </w:r>
          </w:p>
        </w:tc>
        <w:tc>
          <w:tcPr>
            <w:tcW w:w="298" w:type="dxa"/>
          </w:tcPr>
          <w:p w14:paraId="0AE9E5CE" w14:textId="6ADF33B5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4A21B839" w14:textId="3CD4BF3F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7706C">
              <w:rPr>
                <w:rFonts w:ascii="Arial" w:hAnsi="Arial" w:cs="Arial"/>
                <w:b/>
                <w:sz w:val="24"/>
                <w:szCs w:val="24"/>
              </w:rPr>
              <w:t>MPB-PSPN</w:t>
            </w:r>
          </w:p>
        </w:tc>
      </w:tr>
      <w:tr w:rsidR="00A06E12" w:rsidRPr="00B30850" w14:paraId="6863E424" w14:textId="77777777" w:rsidTr="00A06E12">
        <w:tc>
          <w:tcPr>
            <w:tcW w:w="3030" w:type="dxa"/>
          </w:tcPr>
          <w:p w14:paraId="7F83BEDD" w14:textId="196366C2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DISOKONG OLEH</w:t>
            </w:r>
          </w:p>
        </w:tc>
        <w:tc>
          <w:tcPr>
            <w:tcW w:w="298" w:type="dxa"/>
          </w:tcPr>
          <w:p w14:paraId="7C3E2E26" w14:textId="3BBDBDFA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4E7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787D7065" w14:textId="1F960EAD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Productivity and Competitiveness Development (PCD)/ National Competitiveness (NC)</w:t>
            </w:r>
          </w:p>
          <w:p w14:paraId="7F4DD7FC" w14:textId="77777777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6E12" w:rsidRPr="00B30850" w14:paraId="634CB542" w14:textId="77777777" w:rsidTr="00A06E12">
        <w:tc>
          <w:tcPr>
            <w:tcW w:w="3030" w:type="dxa"/>
          </w:tcPr>
          <w:p w14:paraId="5B34342F" w14:textId="432268E6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KOMEN/ TANDATANGAN PCT</w:t>
            </w:r>
          </w:p>
        </w:tc>
        <w:tc>
          <w:tcPr>
            <w:tcW w:w="298" w:type="dxa"/>
          </w:tcPr>
          <w:p w14:paraId="7CC2D99E" w14:textId="792E05DF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4E7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5A238DD7" w14:textId="77777777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054C4C" w14:textId="77777777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3FB5ED" w14:textId="5ABDD0FF" w:rsidR="00A06E12" w:rsidRDefault="00A06E12" w:rsidP="000A4038">
      <w:pPr>
        <w:pStyle w:val="Heading2"/>
      </w:pPr>
      <w:r>
        <w:br w:type="page"/>
      </w:r>
    </w:p>
    <w:p w14:paraId="21E093C4" w14:textId="1A7776F3" w:rsidR="009F7085" w:rsidRPr="00B30850" w:rsidRDefault="000A26CA" w:rsidP="00A06E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PERBADANAN PRODUKTIVITI MALAYSIA</w:t>
      </w:r>
    </w:p>
    <w:p w14:paraId="3F918F2F" w14:textId="2CFE983C" w:rsidR="009F7085" w:rsidRDefault="000A26CA" w:rsidP="00A06E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KERTAS MAKLUMAN KEPADA </w:t>
      </w:r>
      <w:r w:rsidR="00755D0F">
        <w:rPr>
          <w:rFonts w:ascii="Arial" w:hAnsi="Arial" w:cs="Arial"/>
          <w:b/>
          <w:sz w:val="24"/>
          <w:szCs w:val="24"/>
        </w:rPr>
        <w:t>LEMBAGA</w:t>
      </w:r>
      <w:r>
        <w:rPr>
          <w:rFonts w:ascii="Arial" w:hAnsi="Arial" w:cs="Arial"/>
          <w:b/>
          <w:sz w:val="24"/>
          <w:szCs w:val="24"/>
        </w:rPr>
        <w:t xml:space="preserve"> PENGURUSAN MPC</w:t>
      </w:r>
    </w:p>
    <w:p w14:paraId="0488EB72" w14:textId="35528E87" w:rsidR="00BD16CB" w:rsidRPr="00B30850" w:rsidRDefault="00A06E12" w:rsidP="00A06E12">
      <w:pPr>
        <w:spacing w:line="240" w:lineRule="auto"/>
        <w:ind w:left="15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Pelanjutan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tempoh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projek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sz w:val="24"/>
          <w:szCs w:val="24"/>
        </w:rPr>
        <w:t>pembayaran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Kedua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sz w:val="24"/>
          <w:szCs w:val="24"/>
        </w:rPr>
        <w:t>Fasa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Ketiga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projek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79725E">
        <w:rPr>
          <w:rFonts w:ascii="Arial" w:hAnsi="Arial" w:cs="Arial"/>
          <w:b/>
          <w:i/>
          <w:iCs/>
          <w:sz w:val="24"/>
          <w:szCs w:val="24"/>
        </w:rPr>
        <w:t>“Enforcing Contracts:  Solicitors’ Fees - Moving Forward”</w:t>
      </w:r>
    </w:p>
    <w:p w14:paraId="600C7631" w14:textId="7946D24C" w:rsidR="00B30850" w:rsidRPr="00432CF2" w:rsidRDefault="00D02B98" w:rsidP="00432CF2">
      <w:pPr>
        <w:tabs>
          <w:tab w:val="left" w:pos="226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30850">
        <w:rPr>
          <w:rFonts w:ascii="Arial" w:hAnsi="Arial" w:cs="Arial"/>
          <w:b/>
          <w:sz w:val="24"/>
          <w:szCs w:val="24"/>
        </w:rPr>
        <w:tab/>
      </w:r>
    </w:p>
    <w:p w14:paraId="1951451D" w14:textId="45D67CDE" w:rsidR="00D02B98" w:rsidRPr="00137D8A" w:rsidRDefault="0079725E" w:rsidP="00137D8A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TUJUAN</w:t>
      </w:r>
      <w:r w:rsidR="0099358B" w:rsidRPr="00B30850">
        <w:rPr>
          <w:rFonts w:ascii="Arial" w:hAnsi="Arial" w:cs="Arial"/>
          <w:b/>
          <w:sz w:val="24"/>
          <w:szCs w:val="24"/>
        </w:rPr>
        <w:t xml:space="preserve"> </w:t>
      </w:r>
    </w:p>
    <w:p w14:paraId="5DD52075" w14:textId="2CCD99D0" w:rsidR="00B343CD" w:rsidRPr="008A780B" w:rsidRDefault="00DD7F8D" w:rsidP="00A06E12">
      <w:pPr>
        <w:pStyle w:val="ListParagraph"/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 </w:t>
      </w:r>
      <w:r w:rsidR="00A06E12">
        <w:rPr>
          <w:rFonts w:ascii="Arial" w:hAnsi="Arial" w:cs="Arial"/>
          <w:sz w:val="24"/>
          <w:szCs w:val="24"/>
        </w:rPr>
        <w:tab/>
      </w:r>
      <w:proofErr w:type="spellStart"/>
      <w:r w:rsidR="000A26CA">
        <w:rPr>
          <w:rFonts w:ascii="Arial" w:hAnsi="Arial" w:cs="Arial"/>
          <w:sz w:val="24"/>
          <w:szCs w:val="24"/>
        </w:rPr>
        <w:t>Tujuan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kertas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cadangan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ini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adalah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untuk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mendapatkan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kelulusan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daripada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r w:rsidR="00755D0F">
        <w:rPr>
          <w:rFonts w:ascii="Arial" w:hAnsi="Arial" w:cs="Arial"/>
          <w:sz w:val="24"/>
          <w:szCs w:val="24"/>
        </w:rPr>
        <w:t>Lembaga</w:t>
      </w:r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Pengurusan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r w:rsidR="00755D0F">
        <w:rPr>
          <w:rFonts w:ascii="Arial" w:hAnsi="Arial" w:cs="Arial"/>
          <w:sz w:val="24"/>
          <w:szCs w:val="24"/>
        </w:rPr>
        <w:t xml:space="preserve">MPC </w:t>
      </w:r>
      <w:r w:rsidR="000A26CA">
        <w:rPr>
          <w:rFonts w:ascii="Arial" w:hAnsi="Arial" w:cs="Arial"/>
          <w:sz w:val="24"/>
          <w:szCs w:val="24"/>
        </w:rPr>
        <w:t xml:space="preserve">(BOM) </w:t>
      </w:r>
      <w:proofErr w:type="spellStart"/>
      <w:r w:rsidR="000A26CA">
        <w:rPr>
          <w:rFonts w:ascii="Arial" w:hAnsi="Arial" w:cs="Arial"/>
          <w:sz w:val="24"/>
          <w:szCs w:val="24"/>
        </w:rPr>
        <w:t>bagi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3A6">
        <w:rPr>
          <w:rFonts w:ascii="Arial" w:hAnsi="Arial" w:cs="Arial"/>
          <w:sz w:val="24"/>
          <w:szCs w:val="24"/>
        </w:rPr>
        <w:t>pelanjutan</w:t>
      </w:r>
      <w:proofErr w:type="spellEnd"/>
      <w:r w:rsidR="00C13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 w:rsidRPr="00C133A6">
        <w:rPr>
          <w:rFonts w:ascii="Arial" w:hAnsi="Arial" w:cs="Arial"/>
          <w:sz w:val="24"/>
          <w:szCs w:val="24"/>
        </w:rPr>
        <w:t>tempoh</w:t>
      </w:r>
      <w:proofErr w:type="spellEnd"/>
      <w:r w:rsidR="0040524B" w:rsidRPr="00C13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 w:rsidRPr="00C133A6">
        <w:rPr>
          <w:rFonts w:ascii="Arial" w:hAnsi="Arial" w:cs="Arial"/>
          <w:sz w:val="24"/>
          <w:szCs w:val="24"/>
        </w:rPr>
        <w:t>projek</w:t>
      </w:r>
      <w:proofErr w:type="spellEnd"/>
      <w:r w:rsidR="0040524B" w:rsidRPr="00C133A6">
        <w:rPr>
          <w:rFonts w:ascii="Arial" w:hAnsi="Arial" w:cs="Arial"/>
          <w:sz w:val="24"/>
          <w:szCs w:val="24"/>
        </w:rPr>
        <w:t xml:space="preserve"> </w:t>
      </w:r>
      <w:r w:rsidR="00C133A6" w:rsidRPr="00C133A6">
        <w:rPr>
          <w:rFonts w:ascii="Arial" w:hAnsi="Arial" w:cs="Arial"/>
          <w:i/>
          <w:iCs/>
          <w:sz w:val="24"/>
          <w:szCs w:val="24"/>
        </w:rPr>
        <w:t xml:space="preserve">“Enforcing Contracts:  Solicitors’ Fees - Moving Forward” </w:t>
      </w:r>
      <w:proofErr w:type="spellStart"/>
      <w:r w:rsidR="00BD16CB" w:rsidRPr="00C133A6">
        <w:rPr>
          <w:rFonts w:ascii="Arial" w:hAnsi="Arial" w:cs="Arial"/>
          <w:sz w:val="24"/>
          <w:szCs w:val="24"/>
        </w:rPr>
        <w:t>be</w:t>
      </w:r>
      <w:r w:rsidR="00BD16CB">
        <w:rPr>
          <w:rFonts w:ascii="Arial" w:hAnsi="Arial" w:cs="Arial"/>
          <w:sz w:val="24"/>
          <w:szCs w:val="24"/>
        </w:rPr>
        <w:t>rmula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7021B1">
        <w:rPr>
          <w:rFonts w:ascii="Arial" w:hAnsi="Arial" w:cs="Arial"/>
          <w:sz w:val="24"/>
          <w:szCs w:val="24"/>
        </w:rPr>
        <w:t>Januari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202</w:t>
      </w:r>
      <w:r w:rsidR="007021B1">
        <w:rPr>
          <w:rFonts w:ascii="Arial" w:hAnsi="Arial" w:cs="Arial"/>
          <w:sz w:val="24"/>
          <w:szCs w:val="24"/>
        </w:rPr>
        <w:t>1</w:t>
      </w:r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sehingga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31 Mac 2021</w:t>
      </w:r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bagi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memastikan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tempoh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masa yang </w:t>
      </w:r>
      <w:proofErr w:type="spellStart"/>
      <w:r w:rsidR="0040524B">
        <w:rPr>
          <w:rFonts w:ascii="Arial" w:hAnsi="Arial" w:cs="Arial"/>
          <w:sz w:val="24"/>
          <w:szCs w:val="24"/>
        </w:rPr>
        <w:t>cukup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untuk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melengkapkan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pelaksanaan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projek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seperti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termaktub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dalam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kontrak</w:t>
      </w:r>
      <w:proofErr w:type="spellEnd"/>
      <w:r w:rsidR="004751C9">
        <w:rPr>
          <w:rFonts w:ascii="Arial" w:hAnsi="Arial" w:cs="Arial"/>
          <w:sz w:val="24"/>
          <w:szCs w:val="24"/>
        </w:rPr>
        <w:t>.</w:t>
      </w:r>
      <w:r w:rsidR="000A26C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 xml:space="preserve">Keputusan </w:t>
      </w:r>
      <w:proofErr w:type="spellStart"/>
      <w:r w:rsidR="00BD16CB">
        <w:rPr>
          <w:rFonts w:ascii="Arial" w:hAnsi="Arial" w:cs="Arial"/>
          <w:sz w:val="24"/>
          <w:szCs w:val="24"/>
        </w:rPr>
        <w:t>ini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telah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dimaklumkan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D16CB">
        <w:rPr>
          <w:rFonts w:ascii="Arial" w:hAnsi="Arial" w:cs="Arial"/>
          <w:sz w:val="24"/>
          <w:szCs w:val="24"/>
        </w:rPr>
        <w:t>dalam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Mesyuarat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="00BD16CB">
        <w:rPr>
          <w:rFonts w:ascii="Arial" w:hAnsi="Arial" w:cs="Arial"/>
          <w:sz w:val="24"/>
          <w:szCs w:val="24"/>
        </w:rPr>
        <w:t>Pengurusan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="00BD16CB">
        <w:rPr>
          <w:rFonts w:ascii="Arial" w:hAnsi="Arial" w:cs="Arial"/>
          <w:sz w:val="24"/>
          <w:szCs w:val="24"/>
        </w:rPr>
        <w:t>Bil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. 16/2020 yang </w:t>
      </w:r>
      <w:proofErr w:type="spellStart"/>
      <w:r w:rsidR="00BD16CB">
        <w:rPr>
          <w:rFonts w:ascii="Arial" w:hAnsi="Arial" w:cs="Arial"/>
          <w:sz w:val="24"/>
          <w:szCs w:val="24"/>
        </w:rPr>
        <w:t>telah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diadakan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pada 21 </w:t>
      </w:r>
      <w:proofErr w:type="spellStart"/>
      <w:r w:rsidR="00BD16CB">
        <w:rPr>
          <w:rFonts w:ascii="Arial" w:hAnsi="Arial" w:cs="Arial"/>
          <w:sz w:val="24"/>
          <w:szCs w:val="24"/>
        </w:rPr>
        <w:t>Disember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="000A26CA">
        <w:rPr>
          <w:rFonts w:ascii="Arial" w:hAnsi="Arial" w:cs="Arial"/>
          <w:sz w:val="24"/>
          <w:szCs w:val="24"/>
        </w:rPr>
        <w:t>Projek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ini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telah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mendapat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kelulusan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daripada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BOM pada 1 April 2019 </w:t>
      </w:r>
      <w:proofErr w:type="spellStart"/>
      <w:r w:rsidR="000A26CA">
        <w:rPr>
          <w:rFonts w:ascii="Arial" w:hAnsi="Arial" w:cs="Arial"/>
          <w:sz w:val="24"/>
          <w:szCs w:val="24"/>
        </w:rPr>
        <w:t>melalui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Keratan </w:t>
      </w:r>
      <w:proofErr w:type="spellStart"/>
      <w:r w:rsidR="000A26CA">
        <w:rPr>
          <w:rFonts w:ascii="Arial" w:hAnsi="Arial" w:cs="Arial"/>
          <w:sz w:val="24"/>
          <w:szCs w:val="24"/>
        </w:rPr>
        <w:t>Minit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Bil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. 368/2019 </w:t>
      </w:r>
      <w:proofErr w:type="spellStart"/>
      <w:r w:rsidR="000A26CA">
        <w:rPr>
          <w:rFonts w:ascii="Arial" w:hAnsi="Arial" w:cs="Arial"/>
          <w:sz w:val="24"/>
          <w:szCs w:val="24"/>
        </w:rPr>
        <w:t>dengan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anggaran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bajet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sebanyak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r w:rsidR="008A780B">
        <w:rPr>
          <w:rFonts w:ascii="Arial" w:hAnsi="Arial" w:cs="Arial"/>
          <w:sz w:val="24"/>
          <w:szCs w:val="24"/>
        </w:rPr>
        <w:t>RM242,000.00</w:t>
      </w:r>
      <w:r w:rsidR="00D17F35">
        <w:rPr>
          <w:rFonts w:ascii="Arial" w:hAnsi="Arial" w:cs="Arial"/>
          <w:sz w:val="24"/>
          <w:szCs w:val="24"/>
        </w:rPr>
        <w:t xml:space="preserve"> </w:t>
      </w:r>
      <w:r w:rsidR="000A26C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0A26CA">
        <w:rPr>
          <w:rFonts w:ascii="Arial" w:hAnsi="Arial" w:cs="Arial"/>
          <w:sz w:val="24"/>
          <w:szCs w:val="24"/>
        </w:rPr>
        <w:t>telah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diberikan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kepada</w:t>
      </w:r>
      <w:proofErr w:type="spellEnd"/>
      <w:r w:rsidR="00D17F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338D">
        <w:rPr>
          <w:rFonts w:ascii="Arial" w:hAnsi="Arial" w:cs="Arial"/>
          <w:sz w:val="24"/>
          <w:szCs w:val="24"/>
        </w:rPr>
        <w:t>Koperasi</w:t>
      </w:r>
      <w:proofErr w:type="spellEnd"/>
      <w:r w:rsidR="0087338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="0087338D">
        <w:rPr>
          <w:rFonts w:ascii="Arial" w:hAnsi="Arial" w:cs="Arial"/>
          <w:sz w:val="24"/>
          <w:szCs w:val="24"/>
        </w:rPr>
        <w:t>Berhad</w:t>
      </w:r>
      <w:proofErr w:type="spellEnd"/>
      <w:r w:rsidR="003111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1BC">
        <w:rPr>
          <w:rFonts w:ascii="Arial" w:hAnsi="Arial" w:cs="Arial"/>
          <w:sz w:val="24"/>
          <w:szCs w:val="24"/>
        </w:rPr>
        <w:t>dengan</w:t>
      </w:r>
      <w:proofErr w:type="spellEnd"/>
      <w:r w:rsidR="003111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1BC">
        <w:rPr>
          <w:rFonts w:ascii="Arial" w:hAnsi="Arial" w:cs="Arial"/>
          <w:sz w:val="24"/>
          <w:szCs w:val="24"/>
        </w:rPr>
        <w:t>p</w:t>
      </w:r>
      <w:r w:rsidR="000A26CA">
        <w:rPr>
          <w:rFonts w:ascii="Arial" w:hAnsi="Arial" w:cs="Arial"/>
          <w:sz w:val="24"/>
          <w:szCs w:val="24"/>
        </w:rPr>
        <w:t>erincian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bajet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sebanyak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RM149,454.00 (</w:t>
      </w:r>
      <w:proofErr w:type="spellStart"/>
      <w:r w:rsidR="000A26CA">
        <w:rPr>
          <w:rFonts w:ascii="Arial" w:hAnsi="Arial" w:cs="Arial"/>
          <w:sz w:val="24"/>
          <w:szCs w:val="24"/>
        </w:rPr>
        <w:t>termasuk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6% SST) </w:t>
      </w:r>
      <w:proofErr w:type="spellStart"/>
      <w:r w:rsidR="000A26CA">
        <w:rPr>
          <w:rFonts w:ascii="Arial" w:hAnsi="Arial" w:cs="Arial"/>
          <w:sz w:val="24"/>
          <w:szCs w:val="24"/>
        </w:rPr>
        <w:t>bagi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Yuran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P</w:t>
      </w:r>
      <w:r w:rsidR="00473A67">
        <w:rPr>
          <w:rFonts w:ascii="Arial" w:hAnsi="Arial" w:cs="Arial"/>
          <w:sz w:val="24"/>
          <w:szCs w:val="24"/>
        </w:rPr>
        <w:t xml:space="preserve">rofessional </w:t>
      </w:r>
      <w:r w:rsidR="00C133A6">
        <w:rPr>
          <w:rFonts w:ascii="Arial" w:hAnsi="Arial" w:cs="Arial"/>
          <w:sz w:val="24"/>
          <w:szCs w:val="24"/>
        </w:rPr>
        <w:t xml:space="preserve">dan RM92,000.00 </w:t>
      </w:r>
      <w:proofErr w:type="spellStart"/>
      <w:r w:rsidR="00C133A6">
        <w:rPr>
          <w:rFonts w:ascii="Arial" w:hAnsi="Arial" w:cs="Arial"/>
          <w:sz w:val="24"/>
          <w:szCs w:val="24"/>
        </w:rPr>
        <w:t>bagi</w:t>
      </w:r>
      <w:proofErr w:type="spellEnd"/>
      <w:r w:rsidR="00C133A6">
        <w:rPr>
          <w:rFonts w:ascii="Arial" w:hAnsi="Arial" w:cs="Arial"/>
          <w:sz w:val="24"/>
          <w:szCs w:val="24"/>
        </w:rPr>
        <w:t xml:space="preserve"> </w:t>
      </w:r>
      <w:r w:rsidR="000A26CA">
        <w:rPr>
          <w:rFonts w:ascii="Arial" w:hAnsi="Arial" w:cs="Arial"/>
          <w:sz w:val="24"/>
          <w:szCs w:val="24"/>
        </w:rPr>
        <w:t xml:space="preserve">Kos </w:t>
      </w:r>
      <w:proofErr w:type="spellStart"/>
      <w:r w:rsidR="000A26CA">
        <w:rPr>
          <w:rFonts w:ascii="Arial" w:hAnsi="Arial" w:cs="Arial"/>
          <w:sz w:val="24"/>
          <w:szCs w:val="24"/>
        </w:rPr>
        <w:t>Pentadbiran</w:t>
      </w:r>
      <w:proofErr w:type="spellEnd"/>
      <w:r w:rsidR="0087338D">
        <w:rPr>
          <w:rFonts w:ascii="Arial" w:hAnsi="Arial" w:cs="Arial"/>
          <w:sz w:val="24"/>
          <w:szCs w:val="24"/>
        </w:rPr>
        <w:t xml:space="preserve">. </w:t>
      </w:r>
    </w:p>
    <w:p w14:paraId="544B07D0" w14:textId="77777777" w:rsidR="00B30850" w:rsidRPr="00B30850" w:rsidRDefault="00B30850" w:rsidP="00606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308DFC" w14:textId="03343616" w:rsidR="00D02B98" w:rsidRPr="00137D8A" w:rsidRDefault="000A26CA" w:rsidP="00137D8A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LATAR BELAKANG</w:t>
      </w:r>
    </w:p>
    <w:p w14:paraId="49B08E1D" w14:textId="6D37E496" w:rsidR="00655D17" w:rsidRDefault="00685BF5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85BF5">
        <w:rPr>
          <w:rFonts w:ascii="Arial" w:hAnsi="Arial" w:cs="Arial"/>
          <w:sz w:val="24"/>
          <w:szCs w:val="24"/>
        </w:rPr>
        <w:t>Laporan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i/>
          <w:iCs/>
          <w:sz w:val="24"/>
          <w:szCs w:val="24"/>
        </w:rPr>
        <w:t>Ease of Doing Business</w:t>
      </w:r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diterbitkan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oleh </w:t>
      </w:r>
      <w:r w:rsidRPr="00685BF5">
        <w:rPr>
          <w:rFonts w:ascii="Arial" w:hAnsi="Arial" w:cs="Arial"/>
          <w:i/>
          <w:iCs/>
          <w:sz w:val="24"/>
          <w:szCs w:val="24"/>
        </w:rPr>
        <w:t>World Bank</w:t>
      </w:r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menjadi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rujukan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kepada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685BF5">
        <w:rPr>
          <w:rFonts w:ascii="Arial" w:hAnsi="Arial" w:cs="Arial"/>
          <w:sz w:val="24"/>
          <w:szCs w:val="24"/>
        </w:rPr>
        <w:t>bagi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mengenal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pasti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85BF5">
        <w:rPr>
          <w:rFonts w:ascii="Arial" w:hAnsi="Arial" w:cs="Arial"/>
          <w:sz w:val="24"/>
          <w:szCs w:val="24"/>
        </w:rPr>
        <w:t>memberi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keutamaan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dalam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bidang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peraturan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tertentu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dimaklumkan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85BF5">
        <w:rPr>
          <w:rFonts w:ascii="Arial" w:hAnsi="Arial" w:cs="Arial"/>
          <w:sz w:val="24"/>
          <w:szCs w:val="24"/>
        </w:rPr>
        <w:t>dalam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laporan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tersebut</w:t>
      </w:r>
      <w:proofErr w:type="spellEnd"/>
      <w:r w:rsidRPr="00685BF5">
        <w:rPr>
          <w:rFonts w:ascii="Arial" w:hAnsi="Arial" w:cs="Arial"/>
          <w:sz w:val="24"/>
          <w:szCs w:val="24"/>
        </w:rPr>
        <w:t>.</w:t>
      </w:r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Topik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r w:rsidR="006D7111" w:rsidRPr="00685BF5">
        <w:rPr>
          <w:rFonts w:ascii="Arial" w:hAnsi="Arial" w:cs="Arial"/>
          <w:b/>
          <w:i/>
          <w:iCs/>
          <w:sz w:val="24"/>
          <w:szCs w:val="24"/>
          <w:u w:val="single"/>
        </w:rPr>
        <w:t>Enforcing Contracts</w:t>
      </w:r>
      <w:r w:rsidR="006D7111" w:rsidRPr="0034183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D7111" w:rsidRPr="00341839">
        <w:rPr>
          <w:rFonts w:ascii="Arial" w:hAnsi="Arial" w:cs="Arial"/>
          <w:bCs/>
          <w:sz w:val="24"/>
          <w:szCs w:val="24"/>
        </w:rPr>
        <w:t>merupakan</w:t>
      </w:r>
      <w:proofErr w:type="spellEnd"/>
      <w:r w:rsidR="00770C71"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a</w:t>
      </w:r>
      <w:r w:rsidRPr="00685BF5">
        <w:rPr>
          <w:rFonts w:ascii="Arial" w:hAnsi="Arial" w:cs="Arial"/>
          <w:sz w:val="24"/>
          <w:szCs w:val="24"/>
        </w:rPr>
        <w:t>ntara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bidang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peraturan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diberi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perhatian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daripada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lapor</w:t>
      </w:r>
      <w:r w:rsidR="00CF7F32">
        <w:rPr>
          <w:rFonts w:ascii="Arial" w:hAnsi="Arial" w:cs="Arial"/>
          <w:sz w:val="24"/>
          <w:szCs w:val="24"/>
        </w:rPr>
        <w:t>a</w:t>
      </w:r>
      <w:r w:rsidR="006D7111">
        <w:rPr>
          <w:rFonts w:ascii="Arial" w:hAnsi="Arial" w:cs="Arial"/>
          <w:sz w:val="24"/>
          <w:szCs w:val="24"/>
        </w:rPr>
        <w:t>n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tersebut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="001D0112">
        <w:rPr>
          <w:rFonts w:ascii="Arial" w:hAnsi="Arial" w:cs="Arial"/>
          <w:sz w:val="24"/>
          <w:szCs w:val="24"/>
        </w:rPr>
        <w:t>d</w:t>
      </w:r>
      <w:r w:rsidRPr="00685BF5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85BF5">
        <w:rPr>
          <w:rFonts w:ascii="Arial" w:hAnsi="Arial" w:cs="Arial"/>
          <w:sz w:val="24"/>
          <w:szCs w:val="24"/>
        </w:rPr>
        <w:t>antara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petunjuk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utama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dikenalpasti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85BF5">
        <w:rPr>
          <w:rFonts w:ascii="Arial" w:hAnsi="Arial" w:cs="Arial"/>
          <w:sz w:val="24"/>
          <w:szCs w:val="24"/>
        </w:rPr>
        <w:t>bawah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i/>
          <w:iCs/>
          <w:sz w:val="24"/>
          <w:szCs w:val="24"/>
        </w:rPr>
        <w:t>Enforcing Contracts</w:t>
      </w:r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memerlukan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penambahbaikan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adalah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="00655D17" w:rsidRPr="00685BF5">
        <w:rPr>
          <w:rFonts w:ascii="Arial" w:hAnsi="Arial" w:cs="Arial"/>
          <w:sz w:val="24"/>
          <w:szCs w:val="24"/>
        </w:rPr>
        <w:t>“</w:t>
      </w:r>
      <w:r w:rsidR="00655D17" w:rsidRPr="00685BF5">
        <w:rPr>
          <w:rFonts w:ascii="Arial" w:hAnsi="Arial" w:cs="Arial"/>
          <w:i/>
          <w:iCs/>
          <w:sz w:val="24"/>
          <w:szCs w:val="24"/>
        </w:rPr>
        <w:t>Time required to Complete Procedures, Cost required to Complete Procedures</w:t>
      </w:r>
      <w:r w:rsidRPr="00685BF5">
        <w:rPr>
          <w:rFonts w:ascii="Arial" w:hAnsi="Arial" w:cs="Arial"/>
          <w:i/>
          <w:iCs/>
          <w:sz w:val="24"/>
          <w:szCs w:val="24"/>
        </w:rPr>
        <w:t>”</w:t>
      </w:r>
      <w:r w:rsidR="00655D17"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sz w:val="24"/>
          <w:szCs w:val="24"/>
        </w:rPr>
        <w:t>dan</w:t>
      </w:r>
      <w:r w:rsidR="00655D17"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i/>
          <w:iCs/>
          <w:sz w:val="24"/>
          <w:szCs w:val="24"/>
        </w:rPr>
        <w:t>“</w:t>
      </w:r>
      <w:r w:rsidR="00655D17" w:rsidRPr="00685BF5">
        <w:rPr>
          <w:rFonts w:ascii="Arial" w:hAnsi="Arial" w:cs="Arial"/>
          <w:i/>
          <w:iCs/>
          <w:sz w:val="24"/>
          <w:szCs w:val="24"/>
        </w:rPr>
        <w:t>Number of Procedures”</w:t>
      </w:r>
      <w:r w:rsidR="00655D17" w:rsidRPr="00685BF5">
        <w:rPr>
          <w:rFonts w:ascii="Arial" w:hAnsi="Arial" w:cs="Arial"/>
          <w:sz w:val="24"/>
          <w:szCs w:val="24"/>
        </w:rPr>
        <w:t xml:space="preserve">. </w:t>
      </w:r>
      <w:r w:rsidR="00CF7F32" w:rsidRPr="00CF7F3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D7111" w:rsidRPr="00CF7F32">
        <w:rPr>
          <w:rFonts w:ascii="Arial" w:hAnsi="Arial" w:cs="Arial"/>
          <w:sz w:val="24"/>
          <w:szCs w:val="24"/>
        </w:rPr>
        <w:t>P</w:t>
      </w:r>
      <w:r w:rsidRPr="00CF7F32">
        <w:rPr>
          <w:rFonts w:ascii="Arial" w:hAnsi="Arial" w:cs="Arial"/>
          <w:bCs/>
          <w:sz w:val="24"/>
          <w:szCs w:val="24"/>
        </w:rPr>
        <w:t>rojek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ini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hanya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memfokuskan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kepada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kos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Peguam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Cara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untuk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menguatkuasakan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kontrak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>.</w:t>
      </w:r>
    </w:p>
    <w:p w14:paraId="05269F9B" w14:textId="77777777" w:rsidR="00BC66DE" w:rsidRPr="00BC66DE" w:rsidRDefault="00BC66DE" w:rsidP="00BC66DE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0CD38B" w14:textId="16D7244A" w:rsidR="004E726E" w:rsidRDefault="00685BF5" w:rsidP="00A06E12">
      <w:pPr>
        <w:pStyle w:val="ListParagraph"/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D2E5A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Pr="009D2E5A">
        <w:rPr>
          <w:rFonts w:ascii="Arial" w:hAnsi="Arial" w:cs="Arial"/>
          <w:sz w:val="24"/>
          <w:szCs w:val="24"/>
        </w:rPr>
        <w:t>itu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E5A">
        <w:rPr>
          <w:rFonts w:ascii="Arial" w:hAnsi="Arial" w:cs="Arial"/>
          <w:sz w:val="24"/>
          <w:szCs w:val="24"/>
        </w:rPr>
        <w:t>tujuan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kajian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ini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dijalankan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adalah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untuk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menghasilkan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satu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rujukan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atau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panduan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kepada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pengamal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undang-undang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di Malaysia dan orang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ramai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berkenaan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anggaran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purata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yuran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undang-undang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professional. </w:t>
      </w:r>
    </w:p>
    <w:p w14:paraId="289E47FC" w14:textId="2B4333BC" w:rsidR="000E3A78" w:rsidRDefault="000E3A78" w:rsidP="000E3A78">
      <w:pPr>
        <w:pStyle w:val="ListParagraph"/>
        <w:rPr>
          <w:rFonts w:ascii="Arial" w:hAnsi="Arial" w:cs="Arial"/>
          <w:sz w:val="24"/>
          <w:szCs w:val="24"/>
        </w:rPr>
      </w:pPr>
    </w:p>
    <w:p w14:paraId="4C2484F8" w14:textId="77777777" w:rsidR="00C96C45" w:rsidRPr="000E3A78" w:rsidRDefault="00C96C45" w:rsidP="000E3A78">
      <w:pPr>
        <w:pStyle w:val="ListParagraph"/>
        <w:rPr>
          <w:rFonts w:ascii="Arial" w:hAnsi="Arial" w:cs="Arial"/>
          <w:sz w:val="24"/>
          <w:szCs w:val="24"/>
        </w:rPr>
      </w:pPr>
    </w:p>
    <w:p w14:paraId="72F4ED44" w14:textId="77777777" w:rsidR="000E3A78" w:rsidRPr="00B30850" w:rsidRDefault="000E3A78" w:rsidP="000E3A7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B30850">
        <w:rPr>
          <w:rFonts w:ascii="Arial" w:hAnsi="Arial" w:cs="Arial"/>
          <w:b/>
          <w:sz w:val="24"/>
          <w:szCs w:val="24"/>
        </w:rPr>
        <w:lastRenderedPageBreak/>
        <w:t>OBJE</w:t>
      </w:r>
      <w:r>
        <w:rPr>
          <w:rFonts w:ascii="Arial" w:hAnsi="Arial" w:cs="Arial"/>
          <w:b/>
          <w:sz w:val="24"/>
          <w:szCs w:val="24"/>
        </w:rPr>
        <w:t>KTIF</w:t>
      </w:r>
    </w:p>
    <w:p w14:paraId="69DE2EC7" w14:textId="28BA18AF" w:rsidR="009F0DBA" w:rsidRDefault="009F0DBA" w:rsidP="00A06E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Objektif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6D7111">
        <w:rPr>
          <w:rFonts w:ascii="Arial" w:eastAsia="Arial" w:hAnsi="Arial" w:cs="Arial"/>
          <w:color w:val="000000"/>
          <w:sz w:val="24"/>
          <w:szCs w:val="24"/>
        </w:rPr>
        <w:t>pelanjutan</w:t>
      </w:r>
      <w:proofErr w:type="spellEnd"/>
      <w:r w:rsidR="006D71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memastikan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bilangan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responden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boleh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mewakili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populasi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peguam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bagi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kajian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651C0C7" w14:textId="77777777" w:rsidR="006D7111" w:rsidRDefault="006D7111" w:rsidP="006D71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8FBFA4" w14:textId="47EF0CDB" w:rsidR="006D7111" w:rsidRDefault="006D7111" w:rsidP="006D7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F7F32">
        <w:rPr>
          <w:rFonts w:ascii="Arial" w:eastAsia="Arial" w:hAnsi="Arial" w:cs="Arial"/>
          <w:b/>
          <w:bCs/>
          <w:color w:val="000000"/>
          <w:sz w:val="24"/>
          <w:szCs w:val="24"/>
        </w:rPr>
        <w:t>OUTPUT</w:t>
      </w:r>
    </w:p>
    <w:p w14:paraId="38CD01A1" w14:textId="55EE13E5" w:rsidR="006D7111" w:rsidRPr="006D7111" w:rsidRDefault="006D7111" w:rsidP="006D7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Output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kajian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penghasilan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buku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rujukan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data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panduan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/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amalan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terbaik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pengamal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di Malaysia.</w:t>
      </w:r>
    </w:p>
    <w:p w14:paraId="24BCE072" w14:textId="77777777" w:rsidR="006D7111" w:rsidRDefault="006D7111" w:rsidP="000E3A78">
      <w:pPr>
        <w:pStyle w:val="ListParagraph"/>
        <w:tabs>
          <w:tab w:val="left" w:pos="720"/>
        </w:tabs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7841F458" w14:textId="77777777" w:rsidR="000E3A78" w:rsidRPr="006418A1" w:rsidRDefault="000E3A78" w:rsidP="000E3A7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SKOP PROJEK</w:t>
      </w:r>
    </w:p>
    <w:p w14:paraId="1478C59E" w14:textId="429B8F1F" w:rsidR="000E3A78" w:rsidRDefault="000E3A78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6418A1">
        <w:rPr>
          <w:rFonts w:ascii="Arial" w:hAnsi="Arial" w:cs="Arial"/>
          <w:sz w:val="24"/>
          <w:szCs w:val="24"/>
        </w:rPr>
        <w:t>Projek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ini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menjalankan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 (6) </w:t>
      </w:r>
      <w:proofErr w:type="spellStart"/>
      <w:r w:rsidRPr="006418A1">
        <w:rPr>
          <w:rFonts w:ascii="Arial" w:hAnsi="Arial" w:cs="Arial"/>
          <w:sz w:val="24"/>
          <w:szCs w:val="24"/>
        </w:rPr>
        <w:t>siri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seminar</w:t>
      </w:r>
      <w:r w:rsidRPr="006418A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418A1">
        <w:rPr>
          <w:rFonts w:ascii="Arial" w:hAnsi="Arial" w:cs="Arial"/>
          <w:sz w:val="24"/>
          <w:szCs w:val="24"/>
        </w:rPr>
        <w:t>beberapa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6418A1">
        <w:rPr>
          <w:rFonts w:ascii="Arial" w:hAnsi="Arial" w:cs="Arial"/>
          <w:sz w:val="24"/>
          <w:szCs w:val="24"/>
        </w:rPr>
        <w:t>Peguam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peringkat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negeri </w:t>
      </w:r>
      <w:r w:rsidR="00596B00">
        <w:rPr>
          <w:rFonts w:ascii="Arial" w:hAnsi="Arial" w:cs="Arial"/>
          <w:sz w:val="24"/>
          <w:szCs w:val="24"/>
        </w:rPr>
        <w:t xml:space="preserve">di </w:t>
      </w:r>
      <w:r w:rsidR="00596B00" w:rsidRPr="009D2E5A">
        <w:rPr>
          <w:rFonts w:ascii="Arial" w:hAnsi="Arial" w:cs="Arial"/>
          <w:sz w:val="24"/>
          <w:szCs w:val="24"/>
        </w:rPr>
        <w:t>K</w:t>
      </w:r>
      <w:r w:rsidR="00596B00">
        <w:rPr>
          <w:rFonts w:ascii="Arial" w:hAnsi="Arial" w:cs="Arial"/>
          <w:sz w:val="24"/>
          <w:szCs w:val="24"/>
        </w:rPr>
        <w:t xml:space="preserve">uala </w:t>
      </w:r>
      <w:r w:rsidR="00596B00" w:rsidRPr="009D2E5A">
        <w:rPr>
          <w:rFonts w:ascii="Arial" w:hAnsi="Arial" w:cs="Arial"/>
          <w:sz w:val="24"/>
          <w:szCs w:val="24"/>
        </w:rPr>
        <w:t>L</w:t>
      </w:r>
      <w:r w:rsidR="00596B00">
        <w:rPr>
          <w:rFonts w:ascii="Arial" w:hAnsi="Arial" w:cs="Arial"/>
          <w:sz w:val="24"/>
          <w:szCs w:val="24"/>
        </w:rPr>
        <w:t>umpur</w:t>
      </w:r>
      <w:r w:rsidR="00596B00" w:rsidRPr="009D2E5A">
        <w:rPr>
          <w:rFonts w:ascii="Arial" w:hAnsi="Arial" w:cs="Arial"/>
          <w:sz w:val="24"/>
          <w:szCs w:val="24"/>
        </w:rPr>
        <w:t>, Penang, Johor Bahru, Kuantan</w:t>
      </w:r>
      <w:r w:rsidR="00596B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terpilih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merangkumi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6418A1">
        <w:rPr>
          <w:rFonts w:ascii="Arial" w:hAnsi="Arial" w:cs="Arial"/>
          <w:sz w:val="24"/>
          <w:szCs w:val="24"/>
        </w:rPr>
        <w:t>Peguam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Malaysia, </w:t>
      </w:r>
      <w:r w:rsidRPr="006418A1">
        <w:rPr>
          <w:rFonts w:ascii="Arial" w:hAnsi="Arial" w:cs="Arial"/>
          <w:i/>
          <w:iCs/>
          <w:sz w:val="24"/>
          <w:szCs w:val="24"/>
        </w:rPr>
        <w:t>Sabah Law Association</w:t>
      </w:r>
      <w:r w:rsidRPr="006418A1">
        <w:rPr>
          <w:rFonts w:ascii="Arial" w:hAnsi="Arial" w:cs="Arial"/>
          <w:sz w:val="24"/>
          <w:szCs w:val="24"/>
        </w:rPr>
        <w:t xml:space="preserve"> dan </w:t>
      </w:r>
      <w:r w:rsidRPr="006418A1">
        <w:rPr>
          <w:rFonts w:ascii="Arial" w:hAnsi="Arial" w:cs="Arial"/>
          <w:i/>
          <w:iCs/>
          <w:sz w:val="24"/>
          <w:szCs w:val="24"/>
        </w:rPr>
        <w:t>Advocates Association of Sarawak</w:t>
      </w:r>
      <w:r w:rsidRPr="006418A1">
        <w:rPr>
          <w:rFonts w:ascii="Arial" w:hAnsi="Arial" w:cs="Arial"/>
          <w:sz w:val="24"/>
          <w:szCs w:val="24"/>
        </w:rPr>
        <w:t xml:space="preserve"> di mana data </w:t>
      </w:r>
      <w:proofErr w:type="spellStart"/>
      <w:r w:rsidRPr="006418A1">
        <w:rPr>
          <w:rFonts w:ascii="Arial" w:hAnsi="Arial" w:cs="Arial"/>
          <w:sz w:val="24"/>
          <w:szCs w:val="24"/>
        </w:rPr>
        <w:t>mengenai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yuran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sebenar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peguam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418A1">
        <w:rPr>
          <w:rFonts w:ascii="Arial" w:hAnsi="Arial" w:cs="Arial"/>
          <w:sz w:val="24"/>
          <w:szCs w:val="24"/>
        </w:rPr>
        <w:t>dikenakan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dikumpulkan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bagi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senario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418A1">
        <w:rPr>
          <w:rFonts w:ascii="Arial" w:hAnsi="Arial" w:cs="Arial"/>
          <w:sz w:val="24"/>
          <w:szCs w:val="24"/>
        </w:rPr>
        <w:t>dalam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Kajian </w:t>
      </w:r>
      <w:proofErr w:type="spellStart"/>
      <w:r w:rsidRPr="006418A1">
        <w:rPr>
          <w:rFonts w:ascii="Arial" w:hAnsi="Arial" w:cs="Arial"/>
          <w:sz w:val="24"/>
          <w:szCs w:val="24"/>
        </w:rPr>
        <w:t>Kes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418A1">
        <w:rPr>
          <w:rFonts w:ascii="Arial" w:hAnsi="Arial" w:cs="Arial"/>
          <w:sz w:val="24"/>
          <w:szCs w:val="24"/>
        </w:rPr>
        <w:t>dilaksanakan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oleh </w:t>
      </w:r>
      <w:r w:rsidRPr="006418A1">
        <w:rPr>
          <w:rFonts w:ascii="Arial" w:hAnsi="Arial" w:cs="Arial"/>
          <w:i/>
          <w:iCs/>
          <w:sz w:val="24"/>
          <w:szCs w:val="24"/>
        </w:rPr>
        <w:t>World Bank</w:t>
      </w:r>
      <w:r w:rsidRPr="006418A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8A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erunding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dilantik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telah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membuat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selidik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418A1">
        <w:rPr>
          <w:rFonts w:ascii="Arial" w:hAnsi="Arial" w:cs="Arial"/>
          <w:sz w:val="24"/>
          <w:szCs w:val="24"/>
        </w:rPr>
        <w:t>diedarkan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r w:rsidRPr="006418A1">
        <w:rPr>
          <w:rFonts w:ascii="Arial" w:hAnsi="Arial" w:cs="Arial"/>
          <w:sz w:val="24"/>
          <w:szCs w:val="24"/>
        </w:rPr>
        <w:t>pada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sesi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seminar </w:t>
      </w:r>
      <w:proofErr w:type="spellStart"/>
      <w:r w:rsidRPr="006418A1">
        <w:rPr>
          <w:rFonts w:ascii="Arial" w:hAnsi="Arial" w:cs="Arial"/>
          <w:sz w:val="24"/>
          <w:szCs w:val="24"/>
        </w:rPr>
        <w:t>untuk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mendapatkan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maklum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balas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97D5387" w14:textId="77777777" w:rsidR="000E3A78" w:rsidRDefault="000E3A78" w:rsidP="000E3A78">
      <w:pPr>
        <w:pStyle w:val="ListParagraph"/>
        <w:tabs>
          <w:tab w:val="left" w:pos="720"/>
        </w:tabs>
        <w:spacing w:after="0" w:line="360" w:lineRule="auto"/>
        <w:ind w:left="1260"/>
        <w:jc w:val="both"/>
        <w:rPr>
          <w:rFonts w:ascii="Arial" w:hAnsi="Arial" w:cs="Arial"/>
          <w:sz w:val="24"/>
          <w:szCs w:val="24"/>
        </w:rPr>
      </w:pPr>
    </w:p>
    <w:p w14:paraId="311A8EDB" w14:textId="77777777" w:rsidR="000E3A78" w:rsidRDefault="000E3A78" w:rsidP="000E3A7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3A78">
        <w:rPr>
          <w:rFonts w:ascii="Arial" w:hAnsi="Arial" w:cs="Arial"/>
          <w:b/>
          <w:bCs/>
          <w:sz w:val="24"/>
          <w:szCs w:val="24"/>
        </w:rPr>
        <w:t>STATUS PROJEK</w:t>
      </w:r>
    </w:p>
    <w:p w14:paraId="62E7455E" w14:textId="315634EC" w:rsidR="000E3A78" w:rsidRPr="000E3A78" w:rsidRDefault="009F32C9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="000E3A78" w:rsidRPr="000E3A78">
        <w:rPr>
          <w:rFonts w:ascii="Arial" w:hAnsi="Arial" w:cs="Arial"/>
          <w:sz w:val="24"/>
          <w:szCs w:val="24"/>
        </w:rPr>
        <w:t>ontrak</w:t>
      </w:r>
      <w:proofErr w:type="spellEnd"/>
      <w:r w:rsidR="000E3A78" w:rsidRPr="000E3A7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78" w:rsidRPr="000E3A78">
        <w:rPr>
          <w:rFonts w:ascii="Arial" w:hAnsi="Arial" w:cs="Arial"/>
          <w:sz w:val="24"/>
          <w:szCs w:val="24"/>
        </w:rPr>
        <w:t>dimatikan</w:t>
      </w:r>
      <w:proofErr w:type="spellEnd"/>
      <w:r w:rsidR="000E3A78" w:rsidRPr="000E3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setem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oleh </w:t>
      </w:r>
      <w:proofErr w:type="spellStart"/>
      <w:r>
        <w:rPr>
          <w:rFonts w:ascii="Arial" w:hAnsi="Arial" w:cs="Arial"/>
          <w:sz w:val="24"/>
          <w:szCs w:val="24"/>
        </w:rPr>
        <w:t>Koperasi</w:t>
      </w:r>
      <w:proofErr w:type="spellEnd"/>
      <w:r>
        <w:rPr>
          <w:rFonts w:ascii="Arial" w:hAnsi="Arial" w:cs="Arial"/>
          <w:sz w:val="24"/>
          <w:szCs w:val="24"/>
        </w:rPr>
        <w:t xml:space="preserve"> MPC pada 27 </w:t>
      </w:r>
      <w:proofErr w:type="spellStart"/>
      <w:r>
        <w:rPr>
          <w:rFonts w:ascii="Arial" w:hAnsi="Arial" w:cs="Arial"/>
          <w:sz w:val="24"/>
          <w:szCs w:val="24"/>
        </w:rPr>
        <w:t>Julai</w:t>
      </w:r>
      <w:proofErr w:type="spellEnd"/>
      <w:r>
        <w:rPr>
          <w:rFonts w:ascii="Arial" w:hAnsi="Arial" w:cs="Arial"/>
          <w:sz w:val="24"/>
          <w:szCs w:val="24"/>
        </w:rPr>
        <w:t xml:space="preserve"> 2020. Salinan </w:t>
      </w:r>
      <w:proofErr w:type="spellStart"/>
      <w:r>
        <w:rPr>
          <w:rFonts w:ascii="Arial" w:hAnsi="Arial" w:cs="Arial"/>
          <w:sz w:val="24"/>
          <w:szCs w:val="24"/>
        </w:rPr>
        <w:t>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simpanan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rujukan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D5D10DF" w14:textId="4A511807" w:rsidR="000E3A78" w:rsidRPr="000E3A78" w:rsidRDefault="000E3A78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0E3A78">
        <w:rPr>
          <w:rFonts w:ascii="Arial" w:hAnsi="Arial" w:cs="Arial"/>
          <w:sz w:val="24"/>
          <w:szCs w:val="24"/>
        </w:rPr>
        <w:t xml:space="preserve">Seminar </w:t>
      </w:r>
      <w:proofErr w:type="spellStart"/>
      <w:r w:rsidR="009F32C9">
        <w:rPr>
          <w:rFonts w:ascii="Arial" w:hAnsi="Arial" w:cs="Arial"/>
          <w:sz w:val="24"/>
          <w:szCs w:val="24"/>
        </w:rPr>
        <w:t>terakhir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telah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dijalankan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di Kota Bharu, Kelantan pada 11 </w:t>
      </w:r>
      <w:proofErr w:type="spellStart"/>
      <w:r w:rsidR="009F32C9">
        <w:rPr>
          <w:rFonts w:ascii="Arial" w:hAnsi="Arial" w:cs="Arial"/>
          <w:sz w:val="24"/>
          <w:szCs w:val="24"/>
        </w:rPr>
        <w:t>Oktober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2020</w:t>
      </w:r>
      <w:r w:rsidRPr="000E3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bagi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melengkapkan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siri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seminar yang </w:t>
      </w:r>
      <w:proofErr w:type="spellStart"/>
      <w:r w:rsidR="009F32C9">
        <w:rPr>
          <w:rFonts w:ascii="Arial" w:hAnsi="Arial" w:cs="Arial"/>
          <w:sz w:val="24"/>
          <w:szCs w:val="24"/>
        </w:rPr>
        <w:t>dirancang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F32C9">
        <w:rPr>
          <w:rFonts w:ascii="Arial" w:hAnsi="Arial" w:cs="Arial"/>
          <w:sz w:val="24"/>
          <w:szCs w:val="24"/>
        </w:rPr>
        <w:t>enam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(6) </w:t>
      </w:r>
      <w:proofErr w:type="spellStart"/>
      <w:r w:rsidR="009F32C9">
        <w:rPr>
          <w:rFonts w:ascii="Arial" w:hAnsi="Arial" w:cs="Arial"/>
          <w:sz w:val="24"/>
          <w:szCs w:val="24"/>
        </w:rPr>
        <w:t>lokasi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terpilih</w:t>
      </w:r>
      <w:proofErr w:type="spellEnd"/>
      <w:r w:rsidR="009F32C9">
        <w:rPr>
          <w:rFonts w:ascii="Arial" w:hAnsi="Arial" w:cs="Arial"/>
          <w:sz w:val="24"/>
          <w:szCs w:val="24"/>
        </w:rPr>
        <w:t>.</w:t>
      </w:r>
    </w:p>
    <w:p w14:paraId="1571280F" w14:textId="720F2B3B" w:rsidR="000E3A78" w:rsidRPr="000E3A78" w:rsidRDefault="009F32C9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diperolehi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tambahan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BD16CB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sampel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>
        <w:rPr>
          <w:rFonts w:ascii="Arial" w:hAnsi="Arial" w:cs="Arial"/>
          <w:sz w:val="24"/>
          <w:szCs w:val="24"/>
        </w:rPr>
        <w:t xml:space="preserve"> 375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 w:rsidRPr="00BD16CB">
        <w:rPr>
          <w:rFonts w:ascii="Arial" w:hAnsi="Arial" w:cs="Arial"/>
          <w:sz w:val="24"/>
          <w:szCs w:val="24"/>
        </w:rPr>
        <w:t>mewakili</w:t>
      </w:r>
      <w:proofErr w:type="spellEnd"/>
      <w:r w:rsidR="00BD16CB" w:rsidRP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 w:rsidRPr="00BD16CB">
        <w:rPr>
          <w:rFonts w:ascii="Arial" w:hAnsi="Arial" w:cs="Arial"/>
          <w:sz w:val="24"/>
          <w:szCs w:val="24"/>
        </w:rPr>
        <w:t>populasi</w:t>
      </w:r>
      <w:proofErr w:type="spellEnd"/>
      <w:r w:rsidR="00BD16CB" w:rsidRPr="00BD16CB">
        <w:rPr>
          <w:rFonts w:ascii="Arial" w:hAnsi="Arial" w:cs="Arial"/>
          <w:sz w:val="24"/>
          <w:szCs w:val="24"/>
        </w:rPr>
        <w:t xml:space="preserve"> 19,137</w:t>
      </w:r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 w:rsidRPr="00BD16CB">
        <w:rPr>
          <w:rFonts w:ascii="Arial" w:hAnsi="Arial" w:cs="Arial"/>
          <w:sz w:val="24"/>
          <w:szCs w:val="24"/>
        </w:rPr>
        <w:t>peguam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248ABF" w14:textId="77777777" w:rsidR="004751C9" w:rsidRPr="00F410D8" w:rsidRDefault="004751C9" w:rsidP="00F410D8">
      <w:pPr>
        <w:rPr>
          <w:rFonts w:ascii="Arial" w:hAnsi="Arial" w:cs="Arial"/>
          <w:sz w:val="24"/>
          <w:szCs w:val="24"/>
        </w:rPr>
      </w:pPr>
    </w:p>
    <w:p w14:paraId="3537D89A" w14:textId="77777777" w:rsidR="00BD16CB" w:rsidRPr="009D2E5A" w:rsidRDefault="00BD16CB" w:rsidP="009D2E5A">
      <w:pPr>
        <w:pStyle w:val="ListParagraph"/>
        <w:rPr>
          <w:rFonts w:ascii="Arial" w:hAnsi="Arial" w:cs="Arial"/>
          <w:sz w:val="24"/>
          <w:szCs w:val="24"/>
        </w:rPr>
      </w:pPr>
    </w:p>
    <w:p w14:paraId="1B5CAB9E" w14:textId="15360357" w:rsidR="009D2E5A" w:rsidRDefault="009D2E5A" w:rsidP="009D2E5A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2E5A">
        <w:rPr>
          <w:rFonts w:ascii="Arial" w:hAnsi="Arial" w:cs="Arial"/>
          <w:b/>
          <w:bCs/>
          <w:sz w:val="24"/>
          <w:szCs w:val="24"/>
        </w:rPr>
        <w:t>ISU</w:t>
      </w:r>
    </w:p>
    <w:p w14:paraId="542ACC83" w14:textId="24B6F20E" w:rsidR="009D2E5A" w:rsidRDefault="009D2E5A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9D2E5A">
        <w:rPr>
          <w:rFonts w:ascii="Arial" w:hAnsi="Arial" w:cs="Arial"/>
          <w:sz w:val="24"/>
          <w:szCs w:val="24"/>
        </w:rPr>
        <w:t>Bilangan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responden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549">
        <w:rPr>
          <w:rFonts w:ascii="Arial" w:hAnsi="Arial" w:cs="Arial"/>
          <w:sz w:val="24"/>
          <w:szCs w:val="24"/>
        </w:rPr>
        <w:t>belum</w:t>
      </w:r>
      <w:proofErr w:type="spellEnd"/>
      <w:r w:rsidR="0022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549">
        <w:rPr>
          <w:rFonts w:ascii="Arial" w:hAnsi="Arial" w:cs="Arial"/>
          <w:sz w:val="24"/>
          <w:szCs w:val="24"/>
        </w:rPr>
        <w:t>mencapai</w:t>
      </w:r>
      <w:proofErr w:type="spellEnd"/>
      <w:r w:rsidR="0022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549">
        <w:rPr>
          <w:rFonts w:ascii="Arial" w:hAnsi="Arial" w:cs="Arial"/>
          <w:sz w:val="24"/>
          <w:szCs w:val="24"/>
        </w:rPr>
        <w:t>sasaran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iaitu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hanya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216</w:t>
      </w:r>
      <w:r w:rsidRPr="009D2E5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9D2E5A">
        <w:rPr>
          <w:rFonts w:ascii="Arial" w:hAnsi="Arial" w:cs="Arial"/>
          <w:sz w:val="24"/>
          <w:szCs w:val="24"/>
        </w:rPr>
        <w:t>berdasarkan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kepada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9D2E5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lokasi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r w:rsidR="00596B00">
        <w:rPr>
          <w:rFonts w:ascii="Arial" w:hAnsi="Arial" w:cs="Arial"/>
          <w:sz w:val="24"/>
          <w:szCs w:val="24"/>
        </w:rPr>
        <w:t>(</w:t>
      </w:r>
      <w:r w:rsidRPr="009D2E5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uala </w:t>
      </w:r>
      <w:r w:rsidRPr="009D2E5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umpur</w:t>
      </w:r>
      <w:r w:rsidRPr="009D2E5A">
        <w:rPr>
          <w:rFonts w:ascii="Arial" w:hAnsi="Arial" w:cs="Arial"/>
          <w:sz w:val="24"/>
          <w:szCs w:val="24"/>
        </w:rPr>
        <w:t>, Penang, Johor Bahru, Kuantan, Kota Kinabalu dan Kuching</w:t>
      </w:r>
      <w:r w:rsidR="00596B00">
        <w:rPr>
          <w:rFonts w:ascii="Arial" w:hAnsi="Arial" w:cs="Arial"/>
          <w:sz w:val="24"/>
          <w:szCs w:val="24"/>
        </w:rPr>
        <w:t>)</w:t>
      </w:r>
      <w:r w:rsidRPr="009D2E5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D29F4">
        <w:rPr>
          <w:rFonts w:ascii="Arial" w:hAnsi="Arial" w:cs="Arial"/>
          <w:sz w:val="24"/>
          <w:szCs w:val="24"/>
        </w:rPr>
        <w:t>Jumlah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s</w:t>
      </w:r>
      <w:r w:rsidR="008D29F4">
        <w:rPr>
          <w:rFonts w:ascii="Arial" w:hAnsi="Arial" w:cs="Arial"/>
          <w:sz w:val="24"/>
          <w:szCs w:val="24"/>
        </w:rPr>
        <w:t>asaran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F4" w:rsidRPr="009D2E5A">
        <w:rPr>
          <w:rFonts w:ascii="Arial" w:hAnsi="Arial" w:cs="Arial"/>
          <w:sz w:val="24"/>
          <w:szCs w:val="24"/>
        </w:rPr>
        <w:t>responden</w:t>
      </w:r>
      <w:proofErr w:type="spellEnd"/>
      <w:r w:rsidR="008D29F4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F4" w:rsidRPr="009D2E5A">
        <w:rPr>
          <w:rFonts w:ascii="Arial" w:hAnsi="Arial" w:cs="Arial"/>
          <w:sz w:val="24"/>
          <w:szCs w:val="24"/>
        </w:rPr>
        <w:t>di</w:t>
      </w:r>
      <w:r w:rsidR="008D29F4">
        <w:rPr>
          <w:rFonts w:ascii="Arial" w:hAnsi="Arial" w:cs="Arial"/>
          <w:sz w:val="24"/>
          <w:szCs w:val="24"/>
        </w:rPr>
        <w:t>perlukan</w:t>
      </w:r>
      <w:proofErr w:type="spellEnd"/>
      <w:r w:rsidR="008D29F4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lastRenderedPageBreak/>
        <w:t>adalah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375</w:t>
      </w:r>
      <w:r w:rsidRPr="009D2E5A">
        <w:rPr>
          <w:rFonts w:ascii="Arial" w:hAnsi="Arial" w:cs="Arial"/>
          <w:sz w:val="24"/>
          <w:szCs w:val="24"/>
        </w:rPr>
        <w:t xml:space="preserve"> </w:t>
      </w:r>
      <w:r w:rsidR="008D29F4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9D2E5A">
        <w:rPr>
          <w:rFonts w:ascii="Arial" w:hAnsi="Arial" w:cs="Arial"/>
          <w:sz w:val="24"/>
          <w:szCs w:val="24"/>
        </w:rPr>
        <w:t>daripada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F4">
        <w:rPr>
          <w:rFonts w:ascii="Arial" w:hAnsi="Arial" w:cs="Arial"/>
          <w:sz w:val="24"/>
          <w:szCs w:val="24"/>
        </w:rPr>
        <w:t>semua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lokasi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bagi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mewakili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populasi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r w:rsidRPr="009D2E5A">
        <w:rPr>
          <w:rFonts w:ascii="Arial" w:hAnsi="Arial" w:cs="Arial"/>
          <w:sz w:val="24"/>
          <w:szCs w:val="24"/>
        </w:rPr>
        <w:t xml:space="preserve">19,138 </w:t>
      </w:r>
      <w:proofErr w:type="spellStart"/>
      <w:r w:rsidR="00BD16CB">
        <w:rPr>
          <w:rFonts w:ascii="Arial" w:hAnsi="Arial" w:cs="Arial"/>
          <w:sz w:val="24"/>
          <w:szCs w:val="24"/>
        </w:rPr>
        <w:t>p</w:t>
      </w:r>
      <w:r w:rsidRPr="009D2E5A">
        <w:rPr>
          <w:rFonts w:ascii="Arial" w:hAnsi="Arial" w:cs="Arial"/>
          <w:sz w:val="24"/>
          <w:szCs w:val="24"/>
        </w:rPr>
        <w:t>eguam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D2E5A">
        <w:rPr>
          <w:rFonts w:ascii="Arial" w:hAnsi="Arial" w:cs="Arial"/>
          <w:sz w:val="24"/>
          <w:szCs w:val="24"/>
        </w:rPr>
        <w:t>berdaftar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D2E5A">
        <w:rPr>
          <w:rFonts w:ascii="Arial" w:hAnsi="Arial" w:cs="Arial"/>
          <w:sz w:val="24"/>
          <w:szCs w:val="24"/>
        </w:rPr>
        <w:t>seluruh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Malaysia. </w:t>
      </w:r>
    </w:p>
    <w:p w14:paraId="7CB1F774" w14:textId="14FE21F9" w:rsidR="0007297D" w:rsidRDefault="00223549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Kelewatan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kerana </w:t>
      </w:r>
      <w:proofErr w:type="spellStart"/>
      <w:r>
        <w:rPr>
          <w:rFonts w:ascii="Arial" w:hAnsi="Arial" w:cs="Arial"/>
          <w:sz w:val="24"/>
          <w:szCs w:val="24"/>
        </w:rPr>
        <w:t>kesukaran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selidik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17A0B">
        <w:rPr>
          <w:rFonts w:ascii="Arial" w:hAnsi="Arial" w:cs="Arial"/>
          <w:sz w:val="24"/>
          <w:szCs w:val="24"/>
        </w:rPr>
        <w:t>mendapatkan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bilangan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responden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17A0B">
        <w:rPr>
          <w:rFonts w:ascii="Arial" w:hAnsi="Arial" w:cs="Arial"/>
          <w:sz w:val="24"/>
          <w:szCs w:val="24"/>
        </w:rPr>
        <w:t>mencukupi</w:t>
      </w:r>
      <w:proofErr w:type="spellEnd"/>
      <w:r>
        <w:rPr>
          <w:rFonts w:ascii="Arial" w:hAnsi="Arial" w:cs="Arial"/>
          <w:sz w:val="24"/>
          <w:szCs w:val="24"/>
        </w:rPr>
        <w:t xml:space="preserve">. Oleh yang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MPC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melanjutkan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tempoh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projek</w:t>
      </w:r>
      <w:proofErr w:type="spellEnd"/>
      <w:r w:rsidR="00317A0B">
        <w:rPr>
          <w:rFonts w:ascii="Arial" w:hAnsi="Arial" w:cs="Arial"/>
          <w:sz w:val="24"/>
          <w:szCs w:val="24"/>
        </w:rPr>
        <w:t>.</w:t>
      </w:r>
    </w:p>
    <w:p w14:paraId="746A16BC" w14:textId="7F45F10E" w:rsidR="001A2415" w:rsidRPr="000E3A78" w:rsidRDefault="001A2415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Pelan </w:t>
      </w:r>
      <w:proofErr w:type="spellStart"/>
      <w:r>
        <w:rPr>
          <w:rFonts w:ascii="Arial" w:hAnsi="Arial" w:cs="Arial"/>
          <w:sz w:val="24"/>
          <w:szCs w:val="24"/>
        </w:rPr>
        <w:t>pemantauan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disediakan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dikehendaki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minggu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Sabtu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jam 12:00 </w:t>
      </w:r>
      <w:proofErr w:type="spellStart"/>
      <w:r>
        <w:rPr>
          <w:rFonts w:ascii="Arial" w:hAnsi="Arial" w:cs="Arial"/>
          <w:sz w:val="24"/>
          <w:szCs w:val="24"/>
        </w:rPr>
        <w:t>tengahari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membolehkan</w:t>
      </w:r>
      <w:proofErr w:type="spellEnd"/>
      <w:r>
        <w:rPr>
          <w:rFonts w:ascii="Arial" w:hAnsi="Arial" w:cs="Arial"/>
          <w:sz w:val="24"/>
          <w:szCs w:val="24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dipantau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410D8">
        <w:rPr>
          <w:rFonts w:ascii="Arial" w:hAnsi="Arial" w:cs="Arial"/>
          <w:b/>
          <w:bCs/>
          <w:sz w:val="24"/>
          <w:szCs w:val="24"/>
        </w:rPr>
        <w:t>Lampiran 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pemantauan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dilaporkan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perunding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FEA4241" w14:textId="77777777" w:rsidR="003331C4" w:rsidRDefault="003331C4" w:rsidP="009D2E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788CA0" w14:textId="3E1EB3E4" w:rsidR="0079725E" w:rsidRDefault="0079725E" w:rsidP="0079725E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KOS</w:t>
      </w:r>
    </w:p>
    <w:p w14:paraId="3AE813B0" w14:textId="3523C94B" w:rsidR="0007297D" w:rsidRPr="0007297D" w:rsidRDefault="008D29F4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Baki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</w:t>
      </w:r>
      <w:r w:rsidR="0007297D" w:rsidRPr="0007297D">
        <w:rPr>
          <w:rFonts w:ascii="Arial" w:hAnsi="Arial" w:cs="Arial"/>
          <w:bCs/>
          <w:sz w:val="24"/>
          <w:szCs w:val="24"/>
        </w:rPr>
        <w:t>adual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bayaran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kepada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pembekal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adalah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seperti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berikut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>:</w:t>
      </w:r>
    </w:p>
    <w:p w14:paraId="7D6A2A96" w14:textId="345D3392" w:rsidR="0007297D" w:rsidRPr="00A06E12" w:rsidRDefault="0007297D" w:rsidP="00A06E12">
      <w:pPr>
        <w:pStyle w:val="ListParagraph"/>
        <w:numPr>
          <w:ilvl w:val="0"/>
          <w:numId w:val="20"/>
        </w:num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proofErr w:type="spellStart"/>
      <w:r w:rsidRPr="00A06E12">
        <w:rPr>
          <w:rFonts w:ascii="Arial" w:hAnsi="Arial" w:cs="Arial"/>
          <w:sz w:val="24"/>
          <w:szCs w:val="24"/>
        </w:rPr>
        <w:t>Fasa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2 (30%): </w:t>
      </w:r>
      <w:proofErr w:type="spellStart"/>
      <w:r w:rsidRPr="00A06E12">
        <w:rPr>
          <w:rFonts w:ascii="Arial" w:hAnsi="Arial" w:cs="Arial"/>
          <w:sz w:val="24"/>
          <w:szCs w:val="24"/>
        </w:rPr>
        <w:t>Selepas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menerima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Laporan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Awal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06E12">
        <w:rPr>
          <w:rFonts w:ascii="Arial" w:hAnsi="Arial" w:cs="Arial"/>
          <w:sz w:val="24"/>
          <w:szCs w:val="24"/>
        </w:rPr>
        <w:t>Laporan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Interim; dan</w:t>
      </w:r>
    </w:p>
    <w:p w14:paraId="6CF0BD37" w14:textId="69B6E61D" w:rsidR="0007297D" w:rsidRPr="00A06E12" w:rsidRDefault="0007297D" w:rsidP="00A06E12">
      <w:pPr>
        <w:pStyle w:val="ListParagraph"/>
        <w:numPr>
          <w:ilvl w:val="0"/>
          <w:numId w:val="20"/>
        </w:numPr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06E12">
        <w:rPr>
          <w:rFonts w:ascii="Arial" w:hAnsi="Arial" w:cs="Arial"/>
          <w:sz w:val="24"/>
          <w:szCs w:val="24"/>
        </w:rPr>
        <w:t>Fasa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3 (40%):</w:t>
      </w:r>
      <w:r w:rsidRPr="00A06E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Selepas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Laporan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Akhir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selesai</w:t>
      </w:r>
      <w:proofErr w:type="spellEnd"/>
      <w:r w:rsidRPr="00A06E12">
        <w:rPr>
          <w:rFonts w:ascii="Arial" w:hAnsi="Arial" w:cs="Arial"/>
          <w:sz w:val="24"/>
          <w:szCs w:val="24"/>
        </w:rPr>
        <w:t>.</w:t>
      </w:r>
    </w:p>
    <w:p w14:paraId="7B07DA87" w14:textId="77777777" w:rsidR="009D2E5A" w:rsidRPr="00775C8F" w:rsidRDefault="009D2E5A" w:rsidP="00775C8F">
      <w:pPr>
        <w:tabs>
          <w:tab w:val="left" w:pos="72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203C9E5" w14:textId="4E1699D5" w:rsidR="0079725E" w:rsidRPr="0007297D" w:rsidRDefault="0007297D" w:rsidP="00A06E12">
      <w:pPr>
        <w:pStyle w:val="ListParagraph"/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79725E" w:rsidRPr="0079725E">
        <w:rPr>
          <w:rFonts w:ascii="Arial" w:hAnsi="Arial" w:cs="Arial"/>
          <w:sz w:val="24"/>
          <w:szCs w:val="24"/>
        </w:rPr>
        <w:t>aki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bayaran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kepada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pembekal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seperti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jadual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bawah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8636" w:type="dxa"/>
        <w:tblInd w:w="715" w:type="dxa"/>
        <w:tblLook w:val="04A0" w:firstRow="1" w:lastRow="0" w:firstColumn="1" w:lastColumn="0" w:noHBand="0" w:noVBand="1"/>
      </w:tblPr>
      <w:tblGrid>
        <w:gridCol w:w="1350"/>
        <w:gridCol w:w="1530"/>
        <w:gridCol w:w="5756"/>
      </w:tblGrid>
      <w:tr w:rsidR="0079725E" w14:paraId="3193E1A3" w14:textId="620B26F3" w:rsidTr="00A06E12">
        <w:tc>
          <w:tcPr>
            <w:tcW w:w="1350" w:type="dxa"/>
          </w:tcPr>
          <w:p w14:paraId="25618618" w14:textId="03AF74E8" w:rsidR="0079725E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530" w:type="dxa"/>
          </w:tcPr>
          <w:p w14:paraId="29620CDA" w14:textId="77777777" w:rsidR="0079725E" w:rsidRDefault="0079725E" w:rsidP="00F91CB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(RM)</w:t>
            </w:r>
          </w:p>
        </w:tc>
        <w:tc>
          <w:tcPr>
            <w:tcW w:w="5756" w:type="dxa"/>
          </w:tcPr>
          <w:p w14:paraId="60E21483" w14:textId="374C42E7" w:rsidR="0079725E" w:rsidRDefault="0079725E" w:rsidP="00F91CB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Status </w:t>
            </w:r>
          </w:p>
        </w:tc>
      </w:tr>
      <w:tr w:rsidR="0079725E" w14:paraId="186E535D" w14:textId="19030CAD" w:rsidTr="00A06E12">
        <w:tc>
          <w:tcPr>
            <w:tcW w:w="1350" w:type="dxa"/>
          </w:tcPr>
          <w:p w14:paraId="4C4060FF" w14:textId="35C21447" w:rsidR="0079725E" w:rsidRPr="00416F77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Fasa</w:t>
            </w:r>
            <w:proofErr w:type="spellEnd"/>
            <w:r w:rsidRPr="00416F77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4973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CD5FD96" w14:textId="77777777" w:rsidR="0079725E" w:rsidRDefault="0079725E" w:rsidP="00F91CBE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F77">
              <w:rPr>
                <w:rFonts w:ascii="Arial" w:hAnsi="Arial" w:cs="Arial"/>
                <w:bCs/>
                <w:sz w:val="24"/>
                <w:szCs w:val="24"/>
              </w:rPr>
              <w:t>44,836.20</w:t>
            </w:r>
          </w:p>
        </w:tc>
        <w:tc>
          <w:tcPr>
            <w:tcW w:w="5756" w:type="dxa"/>
          </w:tcPr>
          <w:p w14:paraId="250A1700" w14:textId="714A2728" w:rsidR="0079725E" w:rsidRPr="00416F77" w:rsidRDefault="00497398" w:rsidP="0049739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dibuat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MPC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pembekal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pada 12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Februari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2020.</w:t>
            </w:r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Tetapi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, MPC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membuat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bayaran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Koperasi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MPC.</w:t>
            </w:r>
          </w:p>
        </w:tc>
      </w:tr>
      <w:tr w:rsidR="0079725E" w14:paraId="42F1F1E0" w14:textId="0F211FCA" w:rsidTr="00A06E12">
        <w:tc>
          <w:tcPr>
            <w:tcW w:w="1350" w:type="dxa"/>
          </w:tcPr>
          <w:p w14:paraId="5B80D187" w14:textId="690F0406" w:rsidR="0079725E" w:rsidRPr="00416F77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Fasa</w:t>
            </w:r>
            <w:proofErr w:type="spellEnd"/>
            <w:r w:rsidRPr="00416F77"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  <w:r w:rsidR="004973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7F31177" w14:textId="77777777" w:rsidR="0079725E" w:rsidRPr="00416F77" w:rsidRDefault="0079725E" w:rsidP="00F91CBE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6F77">
              <w:rPr>
                <w:rFonts w:ascii="Arial" w:hAnsi="Arial" w:cs="Arial"/>
                <w:bCs/>
                <w:sz w:val="24"/>
                <w:szCs w:val="24"/>
              </w:rPr>
              <w:t>59,781.60</w:t>
            </w:r>
          </w:p>
        </w:tc>
        <w:tc>
          <w:tcPr>
            <w:tcW w:w="5756" w:type="dxa"/>
          </w:tcPr>
          <w:p w14:paraId="04CD321F" w14:textId="00BCA717" w:rsidR="0079725E" w:rsidRPr="00416F77" w:rsidRDefault="0007297D" w:rsidP="0007297D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selesai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9725E" w14:paraId="6FF696BC" w14:textId="4F088968" w:rsidTr="00A06E12">
        <w:tc>
          <w:tcPr>
            <w:tcW w:w="1350" w:type="dxa"/>
          </w:tcPr>
          <w:p w14:paraId="56D8EABA" w14:textId="3570B5EA" w:rsidR="0079725E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  <w:tc>
          <w:tcPr>
            <w:tcW w:w="1530" w:type="dxa"/>
          </w:tcPr>
          <w:p w14:paraId="5AB1BEEE" w14:textId="7ED44DD4" w:rsidR="008D29F4" w:rsidRPr="008D29F4" w:rsidRDefault="008D29F4" w:rsidP="00F91CBE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C97353">
              <w:rPr>
                <w:rFonts w:ascii="Arial" w:hAnsi="Arial" w:cs="Arial"/>
                <w:b/>
                <w:sz w:val="24"/>
                <w:szCs w:val="24"/>
              </w:rPr>
              <w:t>104,617.80</w:t>
            </w:r>
          </w:p>
        </w:tc>
        <w:tc>
          <w:tcPr>
            <w:tcW w:w="5756" w:type="dxa"/>
          </w:tcPr>
          <w:p w14:paraId="071294EC" w14:textId="14500A76" w:rsidR="008D29F4" w:rsidRDefault="00EC4B4C" w:rsidP="008D29F4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Baki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Bayaran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2 &amp; 3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kepada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MPC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Berhad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66713C" w:rsidRPr="00C97353">
              <w:rPr>
                <w:rFonts w:ascii="Arial" w:hAnsi="Arial" w:cs="Arial"/>
                <w:b/>
                <w:sz w:val="24"/>
                <w:szCs w:val="24"/>
              </w:rPr>
              <w:t>elum</w:t>
            </w:r>
            <w:proofErr w:type="spellEnd"/>
            <w:r w:rsidR="0066713C"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6713C" w:rsidRPr="00C97353">
              <w:rPr>
                <w:rFonts w:ascii="Arial" w:hAnsi="Arial" w:cs="Arial"/>
                <w:b/>
                <w:sz w:val="24"/>
                <w:szCs w:val="24"/>
              </w:rPr>
              <w:t>elesai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6B00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Bayaran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hanya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akan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dibuat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selepas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Laporan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Akhir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dikemukakan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>).</w:t>
            </w:r>
          </w:p>
          <w:p w14:paraId="158C32D3" w14:textId="4BADE393" w:rsidR="0066713C" w:rsidRDefault="0066713C" w:rsidP="00EC4B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E64DD8" w14:textId="34A33728" w:rsidR="00EC4B4C" w:rsidRDefault="00EC4B4C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A47370C" w14:textId="2FF34931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234BABB4" w14:textId="2906D622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651A39B" w14:textId="04FE2F34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266592B8" w14:textId="21BA527F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3FB87B7" w14:textId="63922616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78CBF314" w14:textId="43394558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7261D36" w14:textId="77777777" w:rsidR="000A4038" w:rsidRPr="002D35C9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4AD2B62D" w14:textId="66D80667" w:rsidR="005950D9" w:rsidRPr="00137D8A" w:rsidRDefault="0079725E" w:rsidP="00137D8A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KELULUSAN</w:t>
      </w:r>
      <w:r w:rsidR="00B30850" w:rsidRPr="00B30850">
        <w:rPr>
          <w:rFonts w:ascii="Arial" w:hAnsi="Arial" w:cs="Arial"/>
          <w:b/>
          <w:sz w:val="24"/>
          <w:szCs w:val="24"/>
        </w:rPr>
        <w:t xml:space="preserve"> BOM</w:t>
      </w:r>
    </w:p>
    <w:p w14:paraId="7EB17D92" w14:textId="02726A97" w:rsidR="006069C6" w:rsidRPr="000A4038" w:rsidRDefault="00596B00" w:rsidP="000A4038">
      <w:pPr>
        <w:pStyle w:val="Heading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P</w:t>
      </w:r>
      <w:r w:rsidR="0079725E" w:rsidRPr="000A4038">
        <w:rPr>
          <w:rFonts w:ascii="Arial" w:hAnsi="Arial" w:cs="Arial"/>
          <w:color w:val="auto"/>
          <w:sz w:val="24"/>
          <w:szCs w:val="24"/>
        </w:rPr>
        <w:t>ersetujuan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dan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kelulusan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daripada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BOM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adalah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dipohon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untuk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7A0B" w:rsidRPr="000A4038">
        <w:rPr>
          <w:rFonts w:ascii="Arial" w:hAnsi="Arial" w:cs="Arial"/>
          <w:color w:val="auto"/>
          <w:sz w:val="24"/>
          <w:szCs w:val="24"/>
        </w:rPr>
        <w:t>melanjutkan</w:t>
      </w:r>
      <w:proofErr w:type="spellEnd"/>
      <w:r w:rsidR="00317A0B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7A0B" w:rsidRPr="000A4038">
        <w:rPr>
          <w:rFonts w:ascii="Arial" w:hAnsi="Arial" w:cs="Arial"/>
          <w:color w:val="auto"/>
          <w:sz w:val="24"/>
          <w:szCs w:val="24"/>
        </w:rPr>
        <w:t>projek</w:t>
      </w:r>
      <w:proofErr w:type="spellEnd"/>
      <w:r w:rsidR="00317A0B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7A0B" w:rsidRPr="000A4038">
        <w:rPr>
          <w:rFonts w:ascii="Arial" w:hAnsi="Arial" w:cs="Arial"/>
          <w:color w:val="auto"/>
          <w:sz w:val="24"/>
          <w:szCs w:val="24"/>
        </w:rPr>
        <w:t>kajian</w:t>
      </w:r>
      <w:proofErr w:type="spellEnd"/>
      <w:r w:rsidR="00317A0B" w:rsidRPr="000A4038">
        <w:rPr>
          <w:rFonts w:ascii="Arial" w:hAnsi="Arial" w:cs="Arial"/>
          <w:color w:val="auto"/>
          <w:sz w:val="24"/>
          <w:szCs w:val="24"/>
        </w:rPr>
        <w:t xml:space="preserve"> dan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meneruskan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pembayaran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(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fasa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kedua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dan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ketiga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) yang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berjumlah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RM</w:t>
      </w:r>
      <w:r w:rsidR="00CC0C35" w:rsidRPr="000A4038">
        <w:rPr>
          <w:rFonts w:ascii="Arial" w:hAnsi="Arial" w:cs="Arial"/>
          <w:color w:val="auto"/>
          <w:sz w:val="24"/>
          <w:szCs w:val="24"/>
        </w:rPr>
        <w:t xml:space="preserve">104,617.80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selepas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Laporan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Ak</w:t>
      </w:r>
      <w:r w:rsidR="00341839">
        <w:rPr>
          <w:rFonts w:ascii="Arial" w:hAnsi="Arial" w:cs="Arial"/>
          <w:color w:val="auto"/>
          <w:sz w:val="24"/>
          <w:szCs w:val="24"/>
        </w:rPr>
        <w:t>h</w:t>
      </w:r>
      <w:r w:rsidRPr="000A4038">
        <w:rPr>
          <w:rFonts w:ascii="Arial" w:hAnsi="Arial" w:cs="Arial"/>
          <w:color w:val="auto"/>
          <w:sz w:val="24"/>
          <w:szCs w:val="24"/>
        </w:rPr>
        <w:t>ir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dikemukakan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dengan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menggunakan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bajet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r w:rsidR="0037706C">
        <w:rPr>
          <w:rFonts w:ascii="Arial" w:hAnsi="Arial" w:cs="Arial"/>
          <w:color w:val="auto"/>
          <w:sz w:val="24"/>
          <w:szCs w:val="24"/>
        </w:rPr>
        <w:t>MPB-PSPN.</w:t>
      </w:r>
    </w:p>
    <w:p w14:paraId="159361E4" w14:textId="60C4E9FB" w:rsidR="00416F77" w:rsidRDefault="00416F77" w:rsidP="00416F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9"/>
      </w:tblGrid>
      <w:tr w:rsidR="00CC0C35" w14:paraId="67F2C787" w14:textId="7ECCD926" w:rsidTr="0019730F">
        <w:trPr>
          <w:trHeight w:val="1389"/>
        </w:trPr>
        <w:tc>
          <w:tcPr>
            <w:tcW w:w="4820" w:type="dxa"/>
          </w:tcPr>
          <w:p w14:paraId="42F5D273" w14:textId="426B93C7" w:rsidR="00CC0C35" w:rsidRDefault="009F0B34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97476" wp14:editId="33F81614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53975</wp:posOffset>
                      </wp:positionV>
                      <wp:extent cx="1647825" cy="11715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09AA3" w14:textId="77777777" w:rsidR="009F0B34" w:rsidRDefault="009F0B34" w:rsidP="009F0B34">
                                  <w:pPr>
                                    <w:jc w:val="center"/>
                                  </w:pPr>
                                  <w:r w:rsidRPr="006849E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19F9E1" wp14:editId="20A92678">
                                        <wp:extent cx="1104900" cy="589915"/>
                                        <wp:effectExtent l="0" t="0" r="0" b="63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5088" t="65392" r="44923" b="1264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4694" cy="6058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97476" id="Rectangle 1" o:spid="_x0000_s1026" style="position:absolute;left:0;text-align:left;margin-left:-18.05pt;margin-top:4.25pt;width:129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" filled="f" stroked="f" strokeweight="1pt">
                      <v:textbox>
                        <w:txbxContent>
                          <w:p w14:paraId="18909AA3" w14:textId="77777777" w:rsidR="009F0B34" w:rsidRDefault="009F0B34" w:rsidP="009F0B34">
                            <w:pPr>
                              <w:jc w:val="center"/>
                            </w:pPr>
                            <w:r w:rsidRPr="006849E6">
                              <w:rPr>
                                <w:noProof/>
                              </w:rPr>
                              <w:drawing>
                                <wp:inline distT="0" distB="0" distL="0" distR="0" wp14:anchorId="6F19F9E1" wp14:editId="20A92678">
                                  <wp:extent cx="1104900" cy="589915"/>
                                  <wp:effectExtent l="0" t="0" r="0" b="63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088" t="65392" r="44923" b="126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694" cy="60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C0C35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="00CC0C35">
              <w:rPr>
                <w:rFonts w:ascii="Arial" w:hAnsi="Arial" w:cs="Arial"/>
                <w:sz w:val="24"/>
                <w:szCs w:val="24"/>
              </w:rPr>
              <w:t xml:space="preserve"> oleh:</w:t>
            </w:r>
          </w:p>
          <w:p w14:paraId="2802B02B" w14:textId="716A43CD" w:rsidR="00CC0C35" w:rsidRDefault="00CC0C35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7A393E" w14:textId="44FD3F20" w:rsidR="00CC0C35" w:rsidRDefault="00CC0C35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6A2F5F62" w14:textId="11A11432" w:rsidR="00CC0C35" w:rsidRDefault="00CC0C35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Disemak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oleh:</w:t>
            </w:r>
          </w:p>
          <w:p w14:paraId="366B2ACA" w14:textId="6B907A35" w:rsidR="00CC0C35" w:rsidRDefault="00CC2AFB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bCs/>
                <w:noProof/>
                <w:color w:val="00000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D42D1" wp14:editId="6159AD19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61595</wp:posOffset>
                      </wp:positionV>
                      <wp:extent cx="1107902" cy="470074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7902" cy="4700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4EE340" w14:textId="6B78CD38" w:rsidR="00CC2AFB" w:rsidRDefault="0019730F" w:rsidP="00CC2AF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MY" w:eastAsia="en-MY"/>
                                    </w:rPr>
                                    <w:drawing>
                                      <wp:inline distT="0" distB="0" distL="0" distR="0" wp14:anchorId="1465CA98" wp14:editId="2019D667">
                                        <wp:extent cx="600075" cy="365760"/>
                                        <wp:effectExtent l="0" t="0" r="9525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0075" cy="365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D42D1" id="Rectangle 3" o:spid="_x0000_s1027" style="position:absolute;left:0;text-align:left;margin-left:35.05pt;margin-top:4.85pt;width:87.2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" filled="f" stroked="f" strokeweight="1pt">
                      <v:textbox>
                        <w:txbxContent>
                          <w:p w14:paraId="314EE340" w14:textId="6B78CD38" w:rsidR="00CC2AFB" w:rsidRDefault="0019730F" w:rsidP="00CC2A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465CA98" wp14:editId="2019D667">
                                  <wp:extent cx="600075" cy="36576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7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B38CDB" w14:textId="6BE92677" w:rsidR="00CC0C35" w:rsidRDefault="00CC0C35" w:rsidP="00CC0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C35" w14:paraId="35E76DEB" w14:textId="4CDAA3ED" w:rsidTr="0019730F">
        <w:trPr>
          <w:trHeight w:val="508"/>
        </w:trPr>
        <w:tc>
          <w:tcPr>
            <w:tcW w:w="4820" w:type="dxa"/>
          </w:tcPr>
          <w:p w14:paraId="67DD753C" w14:textId="5356123F" w:rsidR="00CC0C35" w:rsidRDefault="00D6727F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 Binty</w:t>
            </w:r>
          </w:p>
        </w:tc>
        <w:tc>
          <w:tcPr>
            <w:tcW w:w="4399" w:type="dxa"/>
          </w:tcPr>
          <w:p w14:paraId="7ACFA664" w14:textId="4DE99302" w:rsidR="00CC0C35" w:rsidRDefault="00CC0C35" w:rsidP="00CC0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Mohamad Muzaffar Abdul Hamid</w:t>
            </w:r>
          </w:p>
        </w:tc>
      </w:tr>
      <w:tr w:rsidR="00CC0C35" w14:paraId="1BA3F4CE" w14:textId="30EC0DE9" w:rsidTr="0019730F">
        <w:trPr>
          <w:trHeight w:val="247"/>
        </w:trPr>
        <w:tc>
          <w:tcPr>
            <w:tcW w:w="4820" w:type="dxa"/>
          </w:tcPr>
          <w:p w14:paraId="0A709229" w14:textId="5979BEA0" w:rsidR="00CC0C35" w:rsidRDefault="005A69D4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="00D672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6727F">
              <w:rPr>
                <w:rFonts w:ascii="Arial" w:hAnsi="Arial" w:cs="Arial"/>
                <w:sz w:val="24"/>
                <w:szCs w:val="24"/>
              </w:rPr>
              <w:t>Kanan</w:t>
            </w:r>
            <w:proofErr w:type="spellEnd"/>
          </w:p>
        </w:tc>
        <w:tc>
          <w:tcPr>
            <w:tcW w:w="4399" w:type="dxa"/>
          </w:tcPr>
          <w:p w14:paraId="6ADE8367" w14:textId="7219A256" w:rsidR="00CC0C35" w:rsidRDefault="00CC0C35" w:rsidP="00CC0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Timbalan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</w:p>
        </w:tc>
      </w:tr>
      <w:tr w:rsidR="00CC0C35" w14:paraId="524B6B4D" w14:textId="14684CAC" w:rsidTr="0019730F">
        <w:trPr>
          <w:trHeight w:val="272"/>
        </w:trPr>
        <w:tc>
          <w:tcPr>
            <w:tcW w:w="4820" w:type="dxa"/>
          </w:tcPr>
          <w:p w14:paraId="7A455E9B" w14:textId="03D35EB8" w:rsidR="00CC0C35" w:rsidRDefault="00232E80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(PCD</w:t>
            </w:r>
            <w:r w:rsidR="001973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9" w:type="dxa"/>
          </w:tcPr>
          <w:p w14:paraId="00522EFE" w14:textId="21850275" w:rsidR="00CC0C35" w:rsidRDefault="00232E80" w:rsidP="00CC0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30F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="0019730F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="001973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730F"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 w:rsidR="0019730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PCD</w:t>
            </w:r>
            <w:r w:rsidR="001973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C0C35" w14:paraId="76F937C3" w14:textId="40E69081" w:rsidTr="0019730F">
        <w:trPr>
          <w:trHeight w:val="247"/>
        </w:trPr>
        <w:tc>
          <w:tcPr>
            <w:tcW w:w="4820" w:type="dxa"/>
          </w:tcPr>
          <w:p w14:paraId="4E644007" w14:textId="56581BBD" w:rsidR="00CC0C35" w:rsidRDefault="007831F5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706C">
              <w:rPr>
                <w:rFonts w:ascii="Arial" w:hAnsi="Arial" w:cs="Arial"/>
                <w:sz w:val="24"/>
                <w:szCs w:val="24"/>
              </w:rPr>
              <w:t>4 Mac</w:t>
            </w:r>
            <w:r w:rsidR="00CC0C3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69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14:paraId="68428B96" w14:textId="557CB804" w:rsidR="00CC0C35" w:rsidRDefault="007831F5" w:rsidP="00CC0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706C">
              <w:rPr>
                <w:rFonts w:ascii="Arial" w:hAnsi="Arial" w:cs="Arial"/>
                <w:sz w:val="24"/>
                <w:szCs w:val="24"/>
              </w:rPr>
              <w:t>4 Mac</w:t>
            </w:r>
            <w:r w:rsidR="00CC0C3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69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1780DB4" w14:textId="1B2AB646" w:rsidR="00416F77" w:rsidRDefault="00416F77" w:rsidP="00416F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C6F231" w14:textId="426DD2A2" w:rsidR="00CC0C35" w:rsidRDefault="00CC0C35" w:rsidP="00416F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53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</w:tblGrid>
      <w:tr w:rsidR="00CC0C35" w14:paraId="0EF1290D" w14:textId="77777777" w:rsidTr="00137D8A">
        <w:trPr>
          <w:trHeight w:val="1231"/>
        </w:trPr>
        <w:tc>
          <w:tcPr>
            <w:tcW w:w="5533" w:type="dxa"/>
          </w:tcPr>
          <w:p w14:paraId="439649FB" w14:textId="4DC84BB7" w:rsidR="00CC0C35" w:rsidRDefault="005D1B65" w:rsidP="00F91C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B11E2" wp14:editId="1ACB7E5B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314960</wp:posOffset>
                      </wp:positionV>
                      <wp:extent cx="1457325" cy="5429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26445" w14:textId="77777777" w:rsidR="005D1B65" w:rsidRDefault="005D1B65" w:rsidP="005D1B65">
                                  <w:pPr>
                                    <w:jc w:val="center"/>
                                  </w:pPr>
                                  <w:r w:rsidRPr="00D86AE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 wp14:anchorId="781A3720" wp14:editId="20C1BE23">
                                        <wp:extent cx="996950" cy="437550"/>
                                        <wp:effectExtent l="0" t="0" r="0" b="635"/>
                                        <wp:docPr id="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268" cy="451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B11E2" id="Rectangle 2" o:spid="_x0000_s1028" style="position:absolute;left:0;text-align:left;margin-left:-17.95pt;margin-top:24.8pt;width:114.7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" filled="f" stroked="f" strokeweight="1pt">
                      <v:textbox>
                        <w:txbxContent>
                          <w:p w14:paraId="5C426445" w14:textId="77777777" w:rsidR="005D1B65" w:rsidRDefault="005D1B65" w:rsidP="005D1B65">
                            <w:pPr>
                              <w:jc w:val="center"/>
                            </w:pPr>
                            <w:r w:rsidRPr="00D86AE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81A3720" wp14:editId="20C1BE23">
                                  <wp:extent cx="996950" cy="437550"/>
                                  <wp:effectExtent l="0" t="0" r="0" b="635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268" cy="451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2E5284">
              <w:rPr>
                <w:rFonts w:ascii="Arial" w:hAnsi="Arial" w:cs="Arial"/>
                <w:sz w:val="24"/>
                <w:szCs w:val="24"/>
              </w:rPr>
              <w:t>Diluluskan</w:t>
            </w:r>
            <w:proofErr w:type="spellEnd"/>
            <w:r w:rsidR="002E5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C35">
              <w:rPr>
                <w:rFonts w:ascii="Arial" w:hAnsi="Arial" w:cs="Arial"/>
                <w:sz w:val="24"/>
                <w:szCs w:val="24"/>
              </w:rPr>
              <w:t>oleh:</w:t>
            </w:r>
          </w:p>
          <w:p w14:paraId="7DFA9388" w14:textId="5D6D865B" w:rsidR="0066713C" w:rsidRDefault="0066713C" w:rsidP="006671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C35" w14:paraId="699DBADE" w14:textId="77777777" w:rsidTr="00137D8A">
        <w:trPr>
          <w:trHeight w:val="319"/>
        </w:trPr>
        <w:tc>
          <w:tcPr>
            <w:tcW w:w="5533" w:type="dxa"/>
          </w:tcPr>
          <w:p w14:paraId="2A271072" w14:textId="77777777" w:rsidR="006A6165" w:rsidRDefault="006A6165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C08EAE" w14:textId="0D952BE7" w:rsidR="00CC0C35" w:rsidRDefault="002E5284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Nadia Wan Osman</w:t>
            </w:r>
          </w:p>
        </w:tc>
      </w:tr>
      <w:tr w:rsidR="00CC0C35" w14:paraId="31B99679" w14:textId="77777777" w:rsidTr="00137D8A">
        <w:trPr>
          <w:trHeight w:val="247"/>
        </w:trPr>
        <w:tc>
          <w:tcPr>
            <w:tcW w:w="5533" w:type="dxa"/>
          </w:tcPr>
          <w:p w14:paraId="6316CCF5" w14:textId="2C157B69" w:rsidR="00CC0C35" w:rsidRDefault="002E5284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</w:p>
        </w:tc>
        <w:bookmarkStart w:id="0" w:name="_GoBack"/>
        <w:bookmarkEnd w:id="0"/>
      </w:tr>
      <w:tr w:rsidR="00CC0C35" w14:paraId="5B00DF10" w14:textId="77777777" w:rsidTr="00137D8A">
        <w:trPr>
          <w:trHeight w:val="272"/>
        </w:trPr>
        <w:tc>
          <w:tcPr>
            <w:tcW w:w="5533" w:type="dxa"/>
          </w:tcPr>
          <w:p w14:paraId="37CE632B" w14:textId="2FE113F1" w:rsidR="00CC0C35" w:rsidRDefault="0019730F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 w:rsidR="008E76DB">
              <w:rPr>
                <w:rFonts w:ascii="Arial" w:hAnsi="Arial" w:cs="Arial"/>
                <w:sz w:val="24"/>
                <w:szCs w:val="24"/>
              </w:rPr>
              <w:t xml:space="preserve"> (PCD)</w:t>
            </w:r>
          </w:p>
        </w:tc>
      </w:tr>
      <w:tr w:rsidR="00CC0C35" w14:paraId="54F9991E" w14:textId="77777777" w:rsidTr="00137D8A">
        <w:trPr>
          <w:trHeight w:val="247"/>
        </w:trPr>
        <w:tc>
          <w:tcPr>
            <w:tcW w:w="5533" w:type="dxa"/>
          </w:tcPr>
          <w:p w14:paraId="4B7A5F59" w14:textId="46790E96" w:rsidR="00CC0C35" w:rsidRDefault="0037706C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Mac</w:t>
            </w:r>
            <w:r w:rsidR="00CC0C3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69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9A06421" w14:textId="1A60F7C7" w:rsidR="00137D8A" w:rsidRDefault="00416F77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0E4CC3" w14:textId="60A3828B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D4070D" w14:textId="101F87E5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AD0D92" w14:textId="1DEE686B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288432" w14:textId="53645C43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3457F9" w14:textId="0F1FB8F0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067B9F" w14:textId="46C15196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3C4A2" w14:textId="6B7B25DC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684CCD" w14:textId="32573ECC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0E85B" w14:textId="1BAED981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DAF9AA" w14:textId="74A8B364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F6EBDB" w14:textId="49C2F305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F1E513" w14:textId="18EDF713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2C6053" w14:textId="4D785AD8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41F2B4" w14:textId="06089BE4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512BA9" w14:textId="2C049DDB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289B85" w14:textId="58E329A9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C22B43" w14:textId="3D026E46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4D5178" w14:textId="2E3B1A7F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7452EE" w14:textId="58661748" w:rsidR="001A2415" w:rsidRPr="000A4038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4038">
        <w:rPr>
          <w:rFonts w:ascii="Arial" w:hAnsi="Arial" w:cs="Arial"/>
          <w:b/>
          <w:bCs/>
          <w:sz w:val="24"/>
          <w:szCs w:val="24"/>
        </w:rPr>
        <w:t>Lampiran 1</w:t>
      </w:r>
    </w:p>
    <w:p w14:paraId="5F9810C0" w14:textId="67F1568D" w:rsidR="001A2415" w:rsidRPr="00CF43E1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09251A4" w14:textId="7852C210" w:rsidR="001A2415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9EBD694" w14:textId="07939B80" w:rsidR="001A2415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4C125A9" w14:textId="77777777" w:rsidR="001A2415" w:rsidRPr="00CF43E1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2A40669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4038">
        <w:rPr>
          <w:rFonts w:ascii="Arial" w:hAnsi="Arial" w:cs="Arial"/>
          <w:b/>
          <w:bCs/>
          <w:sz w:val="24"/>
          <w:szCs w:val="24"/>
        </w:rPr>
        <w:t>Jadual</w:t>
      </w:r>
      <w:proofErr w:type="spellEnd"/>
      <w:r w:rsidRPr="000A4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b/>
          <w:bCs/>
          <w:sz w:val="24"/>
          <w:szCs w:val="24"/>
        </w:rPr>
        <w:t>Pemantauan</w:t>
      </w:r>
      <w:proofErr w:type="spellEnd"/>
      <w:r w:rsidRPr="000A4038">
        <w:rPr>
          <w:b/>
          <w:bCs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b/>
          <w:bCs/>
          <w:sz w:val="24"/>
          <w:szCs w:val="24"/>
        </w:rPr>
        <w:t>Projek</w:t>
      </w:r>
      <w:proofErr w:type="spellEnd"/>
      <w:r w:rsidRPr="000A4038">
        <w:rPr>
          <w:rFonts w:ascii="Arial" w:hAnsi="Arial" w:cs="Arial"/>
          <w:b/>
          <w:bCs/>
          <w:sz w:val="24"/>
          <w:szCs w:val="24"/>
        </w:rPr>
        <w:t xml:space="preserve"> Kajian </w:t>
      </w:r>
    </w:p>
    <w:p w14:paraId="1996D106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038">
        <w:rPr>
          <w:rFonts w:ascii="Arial" w:hAnsi="Arial" w:cs="Arial"/>
          <w:b/>
          <w:bCs/>
          <w:sz w:val="24"/>
          <w:szCs w:val="24"/>
        </w:rPr>
        <w:t>Enforcing Contracts Solicitors Fees-Moving Forward</w:t>
      </w:r>
    </w:p>
    <w:p w14:paraId="49DD95CA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64"/>
        <w:gridCol w:w="1070"/>
        <w:gridCol w:w="1897"/>
        <w:gridCol w:w="1397"/>
        <w:gridCol w:w="2069"/>
        <w:gridCol w:w="1469"/>
      </w:tblGrid>
      <w:tr w:rsidR="001A2415" w:rsidRPr="00CF43E1" w14:paraId="699538FB" w14:textId="77777777" w:rsidTr="00A031C0">
        <w:tc>
          <w:tcPr>
            <w:tcW w:w="1273" w:type="dxa"/>
          </w:tcPr>
          <w:p w14:paraId="54C8529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908" w:type="dxa"/>
          </w:tcPr>
          <w:p w14:paraId="2414DCB2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1940" w:type="dxa"/>
          </w:tcPr>
          <w:p w14:paraId="4F6365D7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Sasaran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Responden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416" w:type="dxa"/>
          </w:tcPr>
          <w:p w14:paraId="3346C66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3D35C9A3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Bilangan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Sebenar</w:t>
            </w:r>
            <w:proofErr w:type="spellEnd"/>
          </w:p>
        </w:tc>
        <w:tc>
          <w:tcPr>
            <w:tcW w:w="2140" w:type="dxa"/>
          </w:tcPr>
          <w:p w14:paraId="53854DD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(b)</w:t>
            </w:r>
          </w:p>
          <w:p w14:paraId="3C0883A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Bilangan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responden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asal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= 216</w:t>
            </w:r>
          </w:p>
        </w:tc>
        <w:tc>
          <w:tcPr>
            <w:tcW w:w="1486" w:type="dxa"/>
          </w:tcPr>
          <w:p w14:paraId="2DAF873E" w14:textId="77777777" w:rsidR="001A2415" w:rsidRPr="000A4038" w:rsidRDefault="001A2415" w:rsidP="001A241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+ (b)</w:t>
            </w:r>
          </w:p>
          <w:p w14:paraId="41E42CBD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Kumulatif</w:t>
            </w:r>
            <w:proofErr w:type="spellEnd"/>
          </w:p>
        </w:tc>
      </w:tr>
      <w:tr w:rsidR="00CF43E1" w:rsidRPr="00CF43E1" w14:paraId="335AB873" w14:textId="77777777" w:rsidTr="00A031C0">
        <w:tc>
          <w:tcPr>
            <w:tcW w:w="1273" w:type="dxa"/>
            <w:vMerge w:val="restart"/>
          </w:tcPr>
          <w:p w14:paraId="1CB7EBB9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DAD952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908" w:type="dxa"/>
          </w:tcPr>
          <w:p w14:paraId="24CFF2B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W1</w:t>
            </w:r>
          </w:p>
        </w:tc>
        <w:tc>
          <w:tcPr>
            <w:tcW w:w="1940" w:type="dxa"/>
          </w:tcPr>
          <w:p w14:paraId="589EF46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6511F2EB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CA11EB9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C249AFD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2AF2116E" w14:textId="77777777" w:rsidTr="00A031C0">
        <w:tc>
          <w:tcPr>
            <w:tcW w:w="1273" w:type="dxa"/>
            <w:vMerge/>
          </w:tcPr>
          <w:p w14:paraId="3A62D3C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7C62E4A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W2</w:t>
            </w:r>
          </w:p>
        </w:tc>
        <w:tc>
          <w:tcPr>
            <w:tcW w:w="1940" w:type="dxa"/>
          </w:tcPr>
          <w:p w14:paraId="78EC0FA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132139B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CB0A07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F08AD6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67C43D2E" w14:textId="77777777" w:rsidTr="00A031C0">
        <w:tc>
          <w:tcPr>
            <w:tcW w:w="1273" w:type="dxa"/>
            <w:vMerge/>
          </w:tcPr>
          <w:p w14:paraId="239372D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6AA97FB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W3</w:t>
            </w:r>
          </w:p>
        </w:tc>
        <w:tc>
          <w:tcPr>
            <w:tcW w:w="1940" w:type="dxa"/>
          </w:tcPr>
          <w:p w14:paraId="03947E2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72B73669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9AF617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83AEDD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7CF07B2E" w14:textId="77777777" w:rsidTr="00A031C0">
        <w:tc>
          <w:tcPr>
            <w:tcW w:w="1273" w:type="dxa"/>
            <w:vMerge/>
          </w:tcPr>
          <w:p w14:paraId="6E6BFE4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4005D6B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W4</w:t>
            </w:r>
          </w:p>
        </w:tc>
        <w:tc>
          <w:tcPr>
            <w:tcW w:w="1940" w:type="dxa"/>
          </w:tcPr>
          <w:p w14:paraId="3B0AC887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27BBB6A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75B6681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8785F6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32977066" w14:textId="77777777" w:rsidTr="00A031C0">
        <w:tc>
          <w:tcPr>
            <w:tcW w:w="1273" w:type="dxa"/>
            <w:vMerge w:val="restart"/>
          </w:tcPr>
          <w:p w14:paraId="30B29D9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5418F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4FCD7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908" w:type="dxa"/>
          </w:tcPr>
          <w:p w14:paraId="588B5953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W1</w:t>
            </w:r>
          </w:p>
        </w:tc>
        <w:tc>
          <w:tcPr>
            <w:tcW w:w="1940" w:type="dxa"/>
          </w:tcPr>
          <w:p w14:paraId="74EEBD5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05E27392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B786E1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624888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07745167" w14:textId="77777777" w:rsidTr="00A031C0">
        <w:tc>
          <w:tcPr>
            <w:tcW w:w="1273" w:type="dxa"/>
            <w:vMerge/>
          </w:tcPr>
          <w:p w14:paraId="76BFD77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38B9C4F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W2</w:t>
            </w:r>
          </w:p>
        </w:tc>
        <w:tc>
          <w:tcPr>
            <w:tcW w:w="1940" w:type="dxa"/>
          </w:tcPr>
          <w:p w14:paraId="49C66F1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5CA03E5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A835A0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C22A08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120D3F90" w14:textId="77777777" w:rsidTr="00A031C0">
        <w:tc>
          <w:tcPr>
            <w:tcW w:w="1273" w:type="dxa"/>
            <w:vMerge/>
          </w:tcPr>
          <w:p w14:paraId="14639C7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4C770023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W3</w:t>
            </w:r>
          </w:p>
        </w:tc>
        <w:tc>
          <w:tcPr>
            <w:tcW w:w="1940" w:type="dxa"/>
          </w:tcPr>
          <w:p w14:paraId="0C4D164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045D952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52F41A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0F6404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5AC34BA0" w14:textId="77777777" w:rsidTr="00A031C0">
        <w:tc>
          <w:tcPr>
            <w:tcW w:w="1273" w:type="dxa"/>
            <w:vMerge/>
          </w:tcPr>
          <w:p w14:paraId="214C214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00A5497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W4</w:t>
            </w:r>
          </w:p>
        </w:tc>
        <w:tc>
          <w:tcPr>
            <w:tcW w:w="1940" w:type="dxa"/>
          </w:tcPr>
          <w:p w14:paraId="6000BF5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14:paraId="17BA17C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92FB73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694851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703A69B4" w14:textId="77777777" w:rsidTr="00A031C0">
        <w:tc>
          <w:tcPr>
            <w:tcW w:w="2181" w:type="dxa"/>
            <w:gridSpan w:val="2"/>
          </w:tcPr>
          <w:p w14:paraId="11392BC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940" w:type="dxa"/>
          </w:tcPr>
          <w:p w14:paraId="5950D49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416" w:type="dxa"/>
          </w:tcPr>
          <w:p w14:paraId="0CF8B59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C5C458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AE4A27D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415" w:rsidRPr="00CF43E1" w14:paraId="604DA0CA" w14:textId="77777777" w:rsidTr="00A031C0">
        <w:tc>
          <w:tcPr>
            <w:tcW w:w="1273" w:type="dxa"/>
            <w:vMerge w:val="restart"/>
          </w:tcPr>
          <w:p w14:paraId="0BF6057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908" w:type="dxa"/>
          </w:tcPr>
          <w:p w14:paraId="783D8A3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W1</w:t>
            </w:r>
          </w:p>
        </w:tc>
        <w:tc>
          <w:tcPr>
            <w:tcW w:w="6982" w:type="dxa"/>
            <w:gridSpan w:val="4"/>
          </w:tcPr>
          <w:p w14:paraId="6BEC38D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0A4038">
              <w:rPr>
                <w:rFonts w:ascii="Arial" w:hAnsi="Arial" w:cs="Arial"/>
                <w:sz w:val="24"/>
                <w:szCs w:val="24"/>
              </w:rPr>
              <w:t xml:space="preserve"> Interim Report</w:t>
            </w:r>
          </w:p>
        </w:tc>
      </w:tr>
      <w:tr w:rsidR="001A2415" w:rsidRPr="00CF43E1" w14:paraId="439C4D93" w14:textId="77777777" w:rsidTr="00A031C0">
        <w:tc>
          <w:tcPr>
            <w:tcW w:w="1273" w:type="dxa"/>
            <w:vMerge/>
          </w:tcPr>
          <w:p w14:paraId="1D1E5BF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30BC0DB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W3</w:t>
            </w:r>
          </w:p>
        </w:tc>
        <w:tc>
          <w:tcPr>
            <w:tcW w:w="6982" w:type="dxa"/>
            <w:gridSpan w:val="4"/>
          </w:tcPr>
          <w:p w14:paraId="39671BA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0A4038">
              <w:rPr>
                <w:rFonts w:ascii="Arial" w:hAnsi="Arial" w:cs="Arial"/>
                <w:sz w:val="24"/>
                <w:szCs w:val="24"/>
              </w:rPr>
              <w:t xml:space="preserve"> Final Report</w:t>
            </w:r>
          </w:p>
        </w:tc>
      </w:tr>
    </w:tbl>
    <w:p w14:paraId="5E58E8ED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DF0E2C" w14:textId="02B9DEB4" w:rsidR="001A2415" w:rsidRPr="000A4038" w:rsidRDefault="00CF43E1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</w:pP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Nota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: </w:t>
      </w: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Sasaran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bilangan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responden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 375</w:t>
      </w:r>
    </w:p>
    <w:sectPr w:rsidR="001A2415" w:rsidRPr="000A4038" w:rsidSect="00A06E12"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B747" w14:textId="77777777" w:rsidR="00945B1C" w:rsidRDefault="00945B1C" w:rsidP="008854DD">
      <w:pPr>
        <w:spacing w:after="0" w:line="240" w:lineRule="auto"/>
      </w:pPr>
      <w:r>
        <w:separator/>
      </w:r>
    </w:p>
  </w:endnote>
  <w:endnote w:type="continuationSeparator" w:id="0">
    <w:p w14:paraId="6BD2B77D" w14:textId="77777777" w:rsidR="00945B1C" w:rsidRDefault="00945B1C" w:rsidP="0088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8344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98DABB" w14:textId="77777777" w:rsidR="008854DD" w:rsidRDefault="008854DD">
            <w:pPr>
              <w:pStyle w:val="Footer"/>
              <w:jc w:val="center"/>
            </w:pPr>
            <w:r w:rsidRPr="008854DD">
              <w:rPr>
                <w:sz w:val="18"/>
                <w:szCs w:val="18"/>
              </w:rPr>
              <w:t xml:space="preserve">Page </w:t>
            </w:r>
            <w:r w:rsidRPr="008854DD">
              <w:rPr>
                <w:b/>
                <w:bCs/>
                <w:sz w:val="18"/>
                <w:szCs w:val="18"/>
              </w:rPr>
              <w:fldChar w:fldCharType="begin"/>
            </w:r>
            <w:r w:rsidRPr="008854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854DD">
              <w:rPr>
                <w:b/>
                <w:bCs/>
                <w:sz w:val="18"/>
                <w:szCs w:val="18"/>
              </w:rPr>
              <w:fldChar w:fldCharType="separate"/>
            </w:r>
            <w:r w:rsidR="00D362E8">
              <w:rPr>
                <w:b/>
                <w:bCs/>
                <w:noProof/>
                <w:sz w:val="18"/>
                <w:szCs w:val="18"/>
              </w:rPr>
              <w:t>1</w:t>
            </w:r>
            <w:r w:rsidRPr="008854DD">
              <w:rPr>
                <w:b/>
                <w:bCs/>
                <w:sz w:val="18"/>
                <w:szCs w:val="18"/>
              </w:rPr>
              <w:fldChar w:fldCharType="end"/>
            </w:r>
            <w:r w:rsidRPr="008854DD">
              <w:rPr>
                <w:sz w:val="18"/>
                <w:szCs w:val="18"/>
              </w:rPr>
              <w:t xml:space="preserve"> of </w:t>
            </w:r>
            <w:r w:rsidRPr="008854DD">
              <w:rPr>
                <w:b/>
                <w:bCs/>
                <w:sz w:val="18"/>
                <w:szCs w:val="18"/>
              </w:rPr>
              <w:fldChar w:fldCharType="begin"/>
            </w:r>
            <w:r w:rsidRPr="008854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854DD">
              <w:rPr>
                <w:b/>
                <w:bCs/>
                <w:sz w:val="18"/>
                <w:szCs w:val="18"/>
              </w:rPr>
              <w:fldChar w:fldCharType="separate"/>
            </w:r>
            <w:r w:rsidR="00D362E8">
              <w:rPr>
                <w:b/>
                <w:bCs/>
                <w:noProof/>
                <w:sz w:val="18"/>
                <w:szCs w:val="18"/>
              </w:rPr>
              <w:t>6</w:t>
            </w:r>
            <w:r w:rsidRPr="008854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0C11A0" w14:textId="77777777" w:rsidR="008854DD" w:rsidRDefault="0088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5E954" w14:textId="77777777" w:rsidR="00945B1C" w:rsidRDefault="00945B1C" w:rsidP="008854DD">
      <w:pPr>
        <w:spacing w:after="0" w:line="240" w:lineRule="auto"/>
      </w:pPr>
      <w:r>
        <w:separator/>
      </w:r>
    </w:p>
  </w:footnote>
  <w:footnote w:type="continuationSeparator" w:id="0">
    <w:p w14:paraId="5AA83BF4" w14:textId="77777777" w:rsidR="00945B1C" w:rsidRDefault="00945B1C" w:rsidP="0088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5D9E"/>
    <w:multiLevelType w:val="hybridMultilevel"/>
    <w:tmpl w:val="9E7C795A"/>
    <w:lvl w:ilvl="0" w:tplc="E4E24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250"/>
    <w:multiLevelType w:val="hybridMultilevel"/>
    <w:tmpl w:val="ABDC91DA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EA39BE"/>
    <w:multiLevelType w:val="hybridMultilevel"/>
    <w:tmpl w:val="C622887E"/>
    <w:lvl w:ilvl="0" w:tplc="9FEA6096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EAC095D"/>
    <w:multiLevelType w:val="hybridMultilevel"/>
    <w:tmpl w:val="B71408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6294"/>
    <w:multiLevelType w:val="hybridMultilevel"/>
    <w:tmpl w:val="DFD6AE22"/>
    <w:lvl w:ilvl="0" w:tplc="DBDAB2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29A"/>
    <w:multiLevelType w:val="hybridMultilevel"/>
    <w:tmpl w:val="8BE2C89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45A0"/>
    <w:multiLevelType w:val="hybridMultilevel"/>
    <w:tmpl w:val="B956BD34"/>
    <w:lvl w:ilvl="0" w:tplc="4409000F">
      <w:start w:val="1"/>
      <w:numFmt w:val="decimal"/>
      <w:lvlText w:val="%1."/>
      <w:lvlJc w:val="left"/>
      <w:pPr>
        <w:ind w:left="540" w:hanging="360"/>
      </w:p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5F97793"/>
    <w:multiLevelType w:val="hybridMultilevel"/>
    <w:tmpl w:val="FFE0BDB6"/>
    <w:lvl w:ilvl="0" w:tplc="D7CE97FA">
      <w:start w:val="1"/>
      <w:numFmt w:val="lowerRoman"/>
      <w:lvlText w:val="(%1)"/>
      <w:lvlJc w:val="left"/>
      <w:pPr>
        <w:ind w:left="1974" w:hanging="84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4923B8"/>
    <w:multiLevelType w:val="multilevel"/>
    <w:tmpl w:val="EA16FC6E"/>
    <w:lvl w:ilvl="0">
      <w:start w:val="1"/>
      <w:numFmt w:val="decimal"/>
      <w:lvlText w:val="%1.0"/>
      <w:lvlJc w:val="left"/>
      <w:pPr>
        <w:ind w:left="1305" w:hanging="13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0CA68D1"/>
    <w:multiLevelType w:val="hybridMultilevel"/>
    <w:tmpl w:val="DC9A813C"/>
    <w:lvl w:ilvl="0" w:tplc="5CF45F34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3B766066"/>
    <w:multiLevelType w:val="hybridMultilevel"/>
    <w:tmpl w:val="9E7C795A"/>
    <w:lvl w:ilvl="0" w:tplc="E4E24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19A6"/>
    <w:multiLevelType w:val="hybridMultilevel"/>
    <w:tmpl w:val="3C5C15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582"/>
    <w:multiLevelType w:val="hybridMultilevel"/>
    <w:tmpl w:val="70085506"/>
    <w:lvl w:ilvl="0" w:tplc="F66C0E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037F3"/>
    <w:multiLevelType w:val="hybridMultilevel"/>
    <w:tmpl w:val="58F4F9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9120B"/>
    <w:multiLevelType w:val="hybridMultilevel"/>
    <w:tmpl w:val="A37A1A2A"/>
    <w:lvl w:ilvl="0" w:tplc="5CF45F34">
      <w:start w:val="1"/>
      <w:numFmt w:val="lowerRoman"/>
      <w:lvlText w:val="(%1)"/>
      <w:lvlJc w:val="left"/>
      <w:pPr>
        <w:ind w:left="20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90" w:hanging="360"/>
      </w:pPr>
    </w:lvl>
    <w:lvl w:ilvl="2" w:tplc="4409001B" w:tentative="1">
      <w:start w:val="1"/>
      <w:numFmt w:val="lowerRoman"/>
      <w:lvlText w:val="%3."/>
      <w:lvlJc w:val="right"/>
      <w:pPr>
        <w:ind w:left="3510" w:hanging="180"/>
      </w:pPr>
    </w:lvl>
    <w:lvl w:ilvl="3" w:tplc="4409000F" w:tentative="1">
      <w:start w:val="1"/>
      <w:numFmt w:val="decimal"/>
      <w:lvlText w:val="%4."/>
      <w:lvlJc w:val="left"/>
      <w:pPr>
        <w:ind w:left="4230" w:hanging="360"/>
      </w:pPr>
    </w:lvl>
    <w:lvl w:ilvl="4" w:tplc="44090019" w:tentative="1">
      <w:start w:val="1"/>
      <w:numFmt w:val="lowerLetter"/>
      <w:lvlText w:val="%5."/>
      <w:lvlJc w:val="left"/>
      <w:pPr>
        <w:ind w:left="4950" w:hanging="360"/>
      </w:pPr>
    </w:lvl>
    <w:lvl w:ilvl="5" w:tplc="4409001B" w:tentative="1">
      <w:start w:val="1"/>
      <w:numFmt w:val="lowerRoman"/>
      <w:lvlText w:val="%6."/>
      <w:lvlJc w:val="right"/>
      <w:pPr>
        <w:ind w:left="5670" w:hanging="180"/>
      </w:pPr>
    </w:lvl>
    <w:lvl w:ilvl="6" w:tplc="4409000F" w:tentative="1">
      <w:start w:val="1"/>
      <w:numFmt w:val="decimal"/>
      <w:lvlText w:val="%7."/>
      <w:lvlJc w:val="left"/>
      <w:pPr>
        <w:ind w:left="6390" w:hanging="360"/>
      </w:pPr>
    </w:lvl>
    <w:lvl w:ilvl="7" w:tplc="44090019" w:tentative="1">
      <w:start w:val="1"/>
      <w:numFmt w:val="lowerLetter"/>
      <w:lvlText w:val="%8."/>
      <w:lvlJc w:val="left"/>
      <w:pPr>
        <w:ind w:left="7110" w:hanging="360"/>
      </w:pPr>
    </w:lvl>
    <w:lvl w:ilvl="8" w:tplc="4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6DA10287"/>
    <w:multiLevelType w:val="hybridMultilevel"/>
    <w:tmpl w:val="AD60D162"/>
    <w:lvl w:ilvl="0" w:tplc="809C88A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B117C9"/>
    <w:multiLevelType w:val="multilevel"/>
    <w:tmpl w:val="4A90D332"/>
    <w:lvl w:ilvl="0">
      <w:start w:val="1"/>
      <w:numFmt w:val="decimal"/>
      <w:lvlText w:val="%1.0"/>
      <w:lvlJc w:val="left"/>
      <w:pPr>
        <w:ind w:left="1305" w:hanging="1305"/>
      </w:pPr>
      <w:rPr>
        <w:b/>
      </w:rPr>
    </w:lvl>
    <w:lvl w:ilvl="1">
      <w:start w:val="1"/>
      <w:numFmt w:val="decimal"/>
      <w:lvlText w:val="%1.%2"/>
      <w:lvlJc w:val="left"/>
      <w:pPr>
        <w:ind w:left="2025" w:hanging="1305"/>
      </w:pPr>
      <w:rPr>
        <w:b w:val="0"/>
      </w:rPr>
    </w:lvl>
    <w:lvl w:ilvl="2">
      <w:start w:val="1"/>
      <w:numFmt w:val="decimal"/>
      <w:lvlText w:val="%1.%2.%3"/>
      <w:lvlJc w:val="left"/>
      <w:pPr>
        <w:ind w:left="2745" w:hanging="1305"/>
      </w:pPr>
    </w:lvl>
    <w:lvl w:ilvl="3">
      <w:start w:val="1"/>
      <w:numFmt w:val="decimal"/>
      <w:lvlText w:val="%1.%2.%3.%4"/>
      <w:lvlJc w:val="left"/>
      <w:pPr>
        <w:ind w:left="3465" w:hanging="1305"/>
      </w:pPr>
    </w:lvl>
    <w:lvl w:ilvl="4">
      <w:start w:val="1"/>
      <w:numFmt w:val="decimal"/>
      <w:lvlText w:val="%1.%2.%3.%4.%5"/>
      <w:lvlJc w:val="left"/>
      <w:pPr>
        <w:ind w:left="4185" w:hanging="1305"/>
      </w:pPr>
    </w:lvl>
    <w:lvl w:ilvl="5">
      <w:start w:val="1"/>
      <w:numFmt w:val="decimal"/>
      <w:lvlText w:val="%1.%2.%3.%4.%5.%6"/>
      <w:lvlJc w:val="left"/>
      <w:pPr>
        <w:ind w:left="4905" w:hanging="1305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7" w15:restartNumberingAfterBreak="0">
    <w:nsid w:val="71BD3E5B"/>
    <w:multiLevelType w:val="hybridMultilevel"/>
    <w:tmpl w:val="6540DA7E"/>
    <w:lvl w:ilvl="0" w:tplc="ADB81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43766"/>
    <w:multiLevelType w:val="hybridMultilevel"/>
    <w:tmpl w:val="E1646A9A"/>
    <w:lvl w:ilvl="0" w:tplc="0BD684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67A39"/>
    <w:multiLevelType w:val="hybridMultilevel"/>
    <w:tmpl w:val="D946E42A"/>
    <w:lvl w:ilvl="0" w:tplc="C54EBC28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42103D"/>
    <w:multiLevelType w:val="hybridMultilevel"/>
    <w:tmpl w:val="29D64C68"/>
    <w:lvl w:ilvl="0" w:tplc="60680DD6">
      <w:start w:val="1"/>
      <w:numFmt w:val="lowerRoman"/>
      <w:lvlText w:val="(%1)"/>
      <w:lvlJc w:val="left"/>
      <w:pPr>
        <w:ind w:left="269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054" w:hanging="360"/>
      </w:pPr>
    </w:lvl>
    <w:lvl w:ilvl="2" w:tplc="4409001B" w:tentative="1">
      <w:start w:val="1"/>
      <w:numFmt w:val="lowerRoman"/>
      <w:lvlText w:val="%3."/>
      <w:lvlJc w:val="right"/>
      <w:pPr>
        <w:ind w:left="3774" w:hanging="180"/>
      </w:pPr>
    </w:lvl>
    <w:lvl w:ilvl="3" w:tplc="4409000F" w:tentative="1">
      <w:start w:val="1"/>
      <w:numFmt w:val="decimal"/>
      <w:lvlText w:val="%4."/>
      <w:lvlJc w:val="left"/>
      <w:pPr>
        <w:ind w:left="4494" w:hanging="360"/>
      </w:pPr>
    </w:lvl>
    <w:lvl w:ilvl="4" w:tplc="44090019" w:tentative="1">
      <w:start w:val="1"/>
      <w:numFmt w:val="lowerLetter"/>
      <w:lvlText w:val="%5."/>
      <w:lvlJc w:val="left"/>
      <w:pPr>
        <w:ind w:left="5214" w:hanging="360"/>
      </w:pPr>
    </w:lvl>
    <w:lvl w:ilvl="5" w:tplc="4409001B" w:tentative="1">
      <w:start w:val="1"/>
      <w:numFmt w:val="lowerRoman"/>
      <w:lvlText w:val="%6."/>
      <w:lvlJc w:val="right"/>
      <w:pPr>
        <w:ind w:left="5934" w:hanging="180"/>
      </w:pPr>
    </w:lvl>
    <w:lvl w:ilvl="6" w:tplc="4409000F" w:tentative="1">
      <w:start w:val="1"/>
      <w:numFmt w:val="decimal"/>
      <w:lvlText w:val="%7."/>
      <w:lvlJc w:val="left"/>
      <w:pPr>
        <w:ind w:left="6654" w:hanging="360"/>
      </w:pPr>
    </w:lvl>
    <w:lvl w:ilvl="7" w:tplc="44090019" w:tentative="1">
      <w:start w:val="1"/>
      <w:numFmt w:val="lowerLetter"/>
      <w:lvlText w:val="%8."/>
      <w:lvlJc w:val="left"/>
      <w:pPr>
        <w:ind w:left="7374" w:hanging="360"/>
      </w:pPr>
    </w:lvl>
    <w:lvl w:ilvl="8" w:tplc="4409001B" w:tentative="1">
      <w:start w:val="1"/>
      <w:numFmt w:val="lowerRoman"/>
      <w:lvlText w:val="%9."/>
      <w:lvlJc w:val="right"/>
      <w:pPr>
        <w:ind w:left="8094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15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1"/>
  </w:num>
  <w:num w:numId="16">
    <w:abstractNumId w:val="13"/>
  </w:num>
  <w:num w:numId="17">
    <w:abstractNumId w:val="0"/>
  </w:num>
  <w:num w:numId="18">
    <w:abstractNumId w:val="10"/>
  </w:num>
  <w:num w:numId="19">
    <w:abstractNumId w:val="1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85"/>
    <w:rsid w:val="000031F2"/>
    <w:rsid w:val="00024AF9"/>
    <w:rsid w:val="00050D53"/>
    <w:rsid w:val="00050FC2"/>
    <w:rsid w:val="0007297D"/>
    <w:rsid w:val="000A26CA"/>
    <w:rsid w:val="000A4038"/>
    <w:rsid w:val="000B338C"/>
    <w:rsid w:val="000B5E8E"/>
    <w:rsid w:val="000C3DAB"/>
    <w:rsid w:val="000E3A78"/>
    <w:rsid w:val="000F609E"/>
    <w:rsid w:val="0013068E"/>
    <w:rsid w:val="00137D8A"/>
    <w:rsid w:val="0016268F"/>
    <w:rsid w:val="0019730F"/>
    <w:rsid w:val="001A2415"/>
    <w:rsid w:val="001A3600"/>
    <w:rsid w:val="001A7097"/>
    <w:rsid w:val="001C270C"/>
    <w:rsid w:val="001D0112"/>
    <w:rsid w:val="001D6575"/>
    <w:rsid w:val="001F49C4"/>
    <w:rsid w:val="001F7FDD"/>
    <w:rsid w:val="0020752B"/>
    <w:rsid w:val="00217433"/>
    <w:rsid w:val="00223549"/>
    <w:rsid w:val="00225B45"/>
    <w:rsid w:val="00232E80"/>
    <w:rsid w:val="00243606"/>
    <w:rsid w:val="0024677C"/>
    <w:rsid w:val="0026674F"/>
    <w:rsid w:val="002B03CA"/>
    <w:rsid w:val="002D35C9"/>
    <w:rsid w:val="002E1C96"/>
    <w:rsid w:val="002E5284"/>
    <w:rsid w:val="003111BC"/>
    <w:rsid w:val="00317A0B"/>
    <w:rsid w:val="003331C4"/>
    <w:rsid w:val="00341839"/>
    <w:rsid w:val="00351191"/>
    <w:rsid w:val="00364809"/>
    <w:rsid w:val="00371429"/>
    <w:rsid w:val="00371484"/>
    <w:rsid w:val="0037706C"/>
    <w:rsid w:val="003A24B3"/>
    <w:rsid w:val="003B0AF9"/>
    <w:rsid w:val="003B1256"/>
    <w:rsid w:val="003B6DC9"/>
    <w:rsid w:val="003E4460"/>
    <w:rsid w:val="0040524B"/>
    <w:rsid w:val="00416F77"/>
    <w:rsid w:val="00432CF2"/>
    <w:rsid w:val="004468EA"/>
    <w:rsid w:val="004714BB"/>
    <w:rsid w:val="00473A67"/>
    <w:rsid w:val="004751C9"/>
    <w:rsid w:val="00475B78"/>
    <w:rsid w:val="00497398"/>
    <w:rsid w:val="004A5947"/>
    <w:rsid w:val="004C129C"/>
    <w:rsid w:val="004E726E"/>
    <w:rsid w:val="00510CEE"/>
    <w:rsid w:val="00544BF4"/>
    <w:rsid w:val="00554FFB"/>
    <w:rsid w:val="00592C64"/>
    <w:rsid w:val="005950D9"/>
    <w:rsid w:val="00596B00"/>
    <w:rsid w:val="005A2976"/>
    <w:rsid w:val="005A69D4"/>
    <w:rsid w:val="005D1B65"/>
    <w:rsid w:val="006069C6"/>
    <w:rsid w:val="00612F30"/>
    <w:rsid w:val="006418A1"/>
    <w:rsid w:val="00655D17"/>
    <w:rsid w:val="0066713C"/>
    <w:rsid w:val="00685BF5"/>
    <w:rsid w:val="00696D3B"/>
    <w:rsid w:val="006A6165"/>
    <w:rsid w:val="006B08EF"/>
    <w:rsid w:val="006B60C3"/>
    <w:rsid w:val="006B6816"/>
    <w:rsid w:val="006B6F66"/>
    <w:rsid w:val="006C5CDC"/>
    <w:rsid w:val="006D7111"/>
    <w:rsid w:val="006D74F8"/>
    <w:rsid w:val="007021B1"/>
    <w:rsid w:val="00706519"/>
    <w:rsid w:val="00721DE4"/>
    <w:rsid w:val="00750901"/>
    <w:rsid w:val="00753022"/>
    <w:rsid w:val="00753146"/>
    <w:rsid w:val="00755D0F"/>
    <w:rsid w:val="00770C71"/>
    <w:rsid w:val="00775C8F"/>
    <w:rsid w:val="007831F5"/>
    <w:rsid w:val="0079590A"/>
    <w:rsid w:val="0079725E"/>
    <w:rsid w:val="007D5F41"/>
    <w:rsid w:val="007E29AE"/>
    <w:rsid w:val="0081531C"/>
    <w:rsid w:val="0082139B"/>
    <w:rsid w:val="00847926"/>
    <w:rsid w:val="00857F6C"/>
    <w:rsid w:val="0087338D"/>
    <w:rsid w:val="00882607"/>
    <w:rsid w:val="008854DD"/>
    <w:rsid w:val="008A420E"/>
    <w:rsid w:val="008A780B"/>
    <w:rsid w:val="008D29F4"/>
    <w:rsid w:val="008E76DB"/>
    <w:rsid w:val="008F0B2C"/>
    <w:rsid w:val="00915552"/>
    <w:rsid w:val="00945B1C"/>
    <w:rsid w:val="00973D4B"/>
    <w:rsid w:val="009759EC"/>
    <w:rsid w:val="009808AA"/>
    <w:rsid w:val="009812D5"/>
    <w:rsid w:val="0098562B"/>
    <w:rsid w:val="0099358B"/>
    <w:rsid w:val="009A12D5"/>
    <w:rsid w:val="009B751C"/>
    <w:rsid w:val="009D2E5A"/>
    <w:rsid w:val="009D3043"/>
    <w:rsid w:val="009D4918"/>
    <w:rsid w:val="009E2C94"/>
    <w:rsid w:val="009E77DE"/>
    <w:rsid w:val="009F0B34"/>
    <w:rsid w:val="009F0DBA"/>
    <w:rsid w:val="009F32C9"/>
    <w:rsid w:val="009F47C0"/>
    <w:rsid w:val="009F7085"/>
    <w:rsid w:val="00A015EF"/>
    <w:rsid w:val="00A06E12"/>
    <w:rsid w:val="00A10561"/>
    <w:rsid w:val="00A210C1"/>
    <w:rsid w:val="00A33010"/>
    <w:rsid w:val="00A46FA4"/>
    <w:rsid w:val="00A5199E"/>
    <w:rsid w:val="00A757D2"/>
    <w:rsid w:val="00AB6DD6"/>
    <w:rsid w:val="00AD6982"/>
    <w:rsid w:val="00AE22D5"/>
    <w:rsid w:val="00AE573C"/>
    <w:rsid w:val="00AF7B74"/>
    <w:rsid w:val="00B00F09"/>
    <w:rsid w:val="00B30850"/>
    <w:rsid w:val="00B343CD"/>
    <w:rsid w:val="00B34897"/>
    <w:rsid w:val="00B51826"/>
    <w:rsid w:val="00B70822"/>
    <w:rsid w:val="00B756DE"/>
    <w:rsid w:val="00B82B11"/>
    <w:rsid w:val="00B853AC"/>
    <w:rsid w:val="00B94AD9"/>
    <w:rsid w:val="00BC66DE"/>
    <w:rsid w:val="00BD0A93"/>
    <w:rsid w:val="00BD16CB"/>
    <w:rsid w:val="00C01A76"/>
    <w:rsid w:val="00C133A6"/>
    <w:rsid w:val="00C200A4"/>
    <w:rsid w:val="00C208E3"/>
    <w:rsid w:val="00C26822"/>
    <w:rsid w:val="00C32202"/>
    <w:rsid w:val="00C357F1"/>
    <w:rsid w:val="00C373DB"/>
    <w:rsid w:val="00C7244F"/>
    <w:rsid w:val="00C96C45"/>
    <w:rsid w:val="00C97353"/>
    <w:rsid w:val="00CB18AB"/>
    <w:rsid w:val="00CC0C35"/>
    <w:rsid w:val="00CC2AFB"/>
    <w:rsid w:val="00CD4EFF"/>
    <w:rsid w:val="00CF43E1"/>
    <w:rsid w:val="00CF7F32"/>
    <w:rsid w:val="00D01722"/>
    <w:rsid w:val="00D02442"/>
    <w:rsid w:val="00D02B98"/>
    <w:rsid w:val="00D04FA4"/>
    <w:rsid w:val="00D17F35"/>
    <w:rsid w:val="00D362E8"/>
    <w:rsid w:val="00D4391F"/>
    <w:rsid w:val="00D54047"/>
    <w:rsid w:val="00D6727F"/>
    <w:rsid w:val="00D76E23"/>
    <w:rsid w:val="00DC7E94"/>
    <w:rsid w:val="00DD2389"/>
    <w:rsid w:val="00DD7F8D"/>
    <w:rsid w:val="00E10B5A"/>
    <w:rsid w:val="00E14078"/>
    <w:rsid w:val="00E24C20"/>
    <w:rsid w:val="00E33DEB"/>
    <w:rsid w:val="00EC4B4C"/>
    <w:rsid w:val="00ED424A"/>
    <w:rsid w:val="00F31A75"/>
    <w:rsid w:val="00F40F9F"/>
    <w:rsid w:val="00F410D8"/>
    <w:rsid w:val="00F4729D"/>
    <w:rsid w:val="00F533D5"/>
    <w:rsid w:val="00F6264E"/>
    <w:rsid w:val="00FA543C"/>
    <w:rsid w:val="00FB42F6"/>
    <w:rsid w:val="00FB6B7F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CC9C"/>
  <w15:chartTrackingRefBased/>
  <w15:docId w15:val="{7EBF9A3D-78C7-41E8-9CC9-7E603C9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08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7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92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DD"/>
  </w:style>
  <w:style w:type="paragraph" w:styleId="Footer">
    <w:name w:val="footer"/>
    <w:basedOn w:val="Normal"/>
    <w:link w:val="FooterChar"/>
    <w:uiPriority w:val="99"/>
    <w:unhideWhenUsed/>
    <w:rsid w:val="0088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DD"/>
  </w:style>
  <w:style w:type="paragraph" w:styleId="BalloonText">
    <w:name w:val="Balloon Text"/>
    <w:basedOn w:val="Normal"/>
    <w:link w:val="BalloonTextChar"/>
    <w:uiPriority w:val="99"/>
    <w:semiHidden/>
    <w:unhideWhenUsed/>
    <w:rsid w:val="00371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2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1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0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AD89-55A6-45A5-8439-4C2F43EC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Ho</dc:creator>
  <cp:keywords/>
  <dc:description/>
  <cp:lastModifiedBy>Edward Binty</cp:lastModifiedBy>
  <cp:revision>13</cp:revision>
  <cp:lastPrinted>2019-03-20T02:26:00Z</cp:lastPrinted>
  <dcterms:created xsi:type="dcterms:W3CDTF">2021-01-22T08:23:00Z</dcterms:created>
  <dcterms:modified xsi:type="dcterms:W3CDTF">2021-03-04T00:47:00Z</dcterms:modified>
</cp:coreProperties>
</file>