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57778-3EEF-44C0-9EDC-5D367ACBC2CE}"/>
</file>

<file path=customXml/itemProps2.xml><?xml version="1.0" encoding="utf-8"?>
<ds:datastoreItem xmlns:ds="http://schemas.openxmlformats.org/officeDocument/2006/customXml" ds:itemID="{2132CCA6-73CA-4FEA-9846-C6C398EC8263}"/>
</file>

<file path=customXml/itemProps3.xml><?xml version="1.0" encoding="utf-8"?>
<ds:datastoreItem xmlns:ds="http://schemas.openxmlformats.org/officeDocument/2006/customXml" ds:itemID="{02C8F307-679B-4FE5-A3F6-DA257EC4B97F}"/>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