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60"/>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75"/>
        <w:gridCol w:w="7330"/>
      </w:tblGrid>
      <w:tr w:rsidR="003D0826" w:rsidRPr="002B03E1" w:rsidTr="00BB7256">
        <w:trPr>
          <w:trHeight w:val="1160"/>
        </w:trPr>
        <w:tc>
          <w:tcPr>
            <w:tcW w:w="2610" w:type="dxa"/>
            <w:vAlign w:val="center"/>
          </w:tcPr>
          <w:p w:rsidR="003D0826" w:rsidRPr="002B03E1" w:rsidRDefault="003D0826" w:rsidP="00BB7256">
            <w:pPr>
              <w:rPr>
                <w:rFonts w:ascii="Arial" w:hAnsi="Arial" w:cs="Arial"/>
                <w:b/>
              </w:rPr>
            </w:pPr>
            <w:bookmarkStart w:id="0" w:name="_GoBack"/>
            <w:bookmarkEnd w:id="0"/>
            <w:r w:rsidRPr="002B03E1">
              <w:rPr>
                <w:rFonts w:ascii="Arial" w:hAnsi="Arial" w:cs="Arial"/>
                <w:b/>
              </w:rPr>
              <w:t>TITLE</w:t>
            </w:r>
          </w:p>
        </w:tc>
        <w:tc>
          <w:tcPr>
            <w:tcW w:w="275" w:type="dxa"/>
            <w:vAlign w:val="center"/>
          </w:tcPr>
          <w:p w:rsidR="003D0826" w:rsidRPr="002B03E1" w:rsidRDefault="003D0826" w:rsidP="00BB7256">
            <w:pPr>
              <w:rPr>
                <w:rFonts w:ascii="Arial" w:hAnsi="Arial" w:cs="Arial"/>
              </w:rPr>
            </w:pPr>
            <w:r w:rsidRPr="002B03E1">
              <w:rPr>
                <w:rFonts w:ascii="Arial" w:hAnsi="Arial" w:cs="Arial"/>
              </w:rPr>
              <w:t>:</w:t>
            </w:r>
          </w:p>
        </w:tc>
        <w:tc>
          <w:tcPr>
            <w:tcW w:w="7330" w:type="dxa"/>
            <w:vAlign w:val="center"/>
          </w:tcPr>
          <w:p w:rsidR="003D0826" w:rsidRPr="002B03E1" w:rsidRDefault="003D0826" w:rsidP="00BB7256">
            <w:pPr>
              <w:rPr>
                <w:rFonts w:ascii="Arial" w:hAnsi="Arial" w:cs="Arial"/>
              </w:rPr>
            </w:pPr>
          </w:p>
          <w:p w:rsidR="00AB0F80" w:rsidRPr="008E261A" w:rsidRDefault="008E261A" w:rsidP="008E261A">
            <w:pPr>
              <w:spacing w:before="230"/>
              <w:jc w:val="both"/>
              <w:rPr>
                <w:rFonts w:ascii="Arial" w:hAnsi="Arial" w:cs="Arial"/>
                <w:b/>
                <w:sz w:val="32"/>
              </w:rPr>
            </w:pPr>
            <w:r w:rsidRPr="008E261A">
              <w:rPr>
                <w:rFonts w:ascii="Arial" w:hAnsi="Arial" w:cs="Arial"/>
                <w:b/>
                <w:bCs/>
              </w:rPr>
              <w:t xml:space="preserve">BOM PAPER INFORMATION: </w:t>
            </w:r>
            <w:r w:rsidRPr="008E261A">
              <w:rPr>
                <w:rFonts w:ascii="Arial" w:hAnsi="Arial" w:cs="Arial"/>
                <w:b/>
              </w:rPr>
              <w:t>CASE STUDY ON TOURISM TRANSPORTATION AND BORDER CONTROL: MIRI – BRUNEI AND JOHOR BHARU-SINGAPORE</w:t>
            </w:r>
          </w:p>
          <w:p w:rsidR="003D0826" w:rsidRPr="002B03E1" w:rsidRDefault="003D0826" w:rsidP="007D1FFF">
            <w:pPr>
              <w:rPr>
                <w:rFonts w:ascii="Arial" w:hAnsi="Arial" w:cs="Arial"/>
              </w:rPr>
            </w:pPr>
          </w:p>
        </w:tc>
      </w:tr>
      <w:tr w:rsidR="003D0826" w:rsidRPr="002B03E1" w:rsidTr="00BB7256">
        <w:trPr>
          <w:trHeight w:val="980"/>
        </w:trPr>
        <w:tc>
          <w:tcPr>
            <w:tcW w:w="2610" w:type="dxa"/>
            <w:vAlign w:val="center"/>
          </w:tcPr>
          <w:p w:rsidR="003D0826" w:rsidRPr="002B03E1" w:rsidRDefault="003D0826" w:rsidP="00BB7256">
            <w:pPr>
              <w:rPr>
                <w:rFonts w:ascii="Arial" w:hAnsi="Arial" w:cs="Arial"/>
                <w:b/>
              </w:rPr>
            </w:pPr>
            <w:r w:rsidRPr="002B03E1">
              <w:rPr>
                <w:rFonts w:ascii="Arial" w:hAnsi="Arial" w:cs="Arial"/>
                <w:b/>
              </w:rPr>
              <w:t>OBJECTIVES</w:t>
            </w:r>
          </w:p>
        </w:tc>
        <w:tc>
          <w:tcPr>
            <w:tcW w:w="275" w:type="dxa"/>
            <w:vAlign w:val="center"/>
          </w:tcPr>
          <w:p w:rsidR="003D0826" w:rsidRPr="002B03E1" w:rsidRDefault="003D0826" w:rsidP="00BB7256">
            <w:pPr>
              <w:rPr>
                <w:rFonts w:ascii="Arial" w:hAnsi="Arial" w:cs="Arial"/>
              </w:rPr>
            </w:pPr>
            <w:r w:rsidRPr="002B03E1">
              <w:rPr>
                <w:rFonts w:ascii="Arial" w:hAnsi="Arial" w:cs="Arial"/>
              </w:rPr>
              <w:t>:</w:t>
            </w:r>
          </w:p>
        </w:tc>
        <w:tc>
          <w:tcPr>
            <w:tcW w:w="7330" w:type="dxa"/>
            <w:vAlign w:val="center"/>
          </w:tcPr>
          <w:p w:rsidR="001A1D18" w:rsidRPr="008E261A" w:rsidRDefault="001A1D18" w:rsidP="001A1D18">
            <w:pPr>
              <w:pStyle w:val="ListParagraph"/>
              <w:numPr>
                <w:ilvl w:val="0"/>
                <w:numId w:val="7"/>
              </w:numPr>
              <w:jc w:val="both"/>
              <w:rPr>
                <w:rFonts w:ascii="Arial" w:hAnsi="Arial" w:cs="Arial"/>
                <w:b/>
                <w:color w:val="333333"/>
              </w:rPr>
            </w:pPr>
            <w:r w:rsidRPr="008E261A">
              <w:rPr>
                <w:rFonts w:ascii="Arial" w:hAnsi="Arial" w:cs="Arial"/>
                <w:b/>
              </w:rPr>
              <w:t>To study the barrier effects of borders in relation to the flow of tourists and the development of tourism</w:t>
            </w:r>
          </w:p>
          <w:p w:rsidR="00D16080" w:rsidRPr="008E261A" w:rsidRDefault="00D16080" w:rsidP="001A1D18">
            <w:pPr>
              <w:pStyle w:val="ListParagraph"/>
              <w:numPr>
                <w:ilvl w:val="0"/>
                <w:numId w:val="7"/>
              </w:numPr>
              <w:jc w:val="both"/>
              <w:rPr>
                <w:rFonts w:ascii="Arial" w:hAnsi="Arial" w:cs="Arial"/>
                <w:b/>
                <w:color w:val="333333"/>
              </w:rPr>
            </w:pPr>
            <w:r w:rsidRPr="008E261A">
              <w:rPr>
                <w:rFonts w:ascii="Arial" w:hAnsi="Arial" w:cs="Arial"/>
                <w:b/>
                <w:color w:val="333333"/>
              </w:rPr>
              <w:t>To increase the efficiency and effectiveness of cooperative tourism marketing strategies between the two countries (Brunei and Singapore)</w:t>
            </w:r>
          </w:p>
          <w:p w:rsidR="001A1D18" w:rsidRPr="008E261A" w:rsidRDefault="001A1D18" w:rsidP="001A1D18">
            <w:pPr>
              <w:pStyle w:val="ListParagraph"/>
              <w:numPr>
                <w:ilvl w:val="0"/>
                <w:numId w:val="7"/>
              </w:numPr>
              <w:jc w:val="both"/>
              <w:rPr>
                <w:rFonts w:ascii="Arial" w:hAnsi="Arial" w:cs="Arial"/>
                <w:b/>
                <w:color w:val="333333"/>
              </w:rPr>
            </w:pPr>
            <w:r w:rsidRPr="008E261A">
              <w:rPr>
                <w:rFonts w:ascii="Arial" w:hAnsi="Arial" w:cs="Arial"/>
                <w:b/>
                <w:color w:val="333333"/>
              </w:rPr>
              <w:t>To establish a joint cross-border tourism organization in creating more tourist arrival to Malaysia</w:t>
            </w:r>
          </w:p>
          <w:p w:rsidR="003D0826" w:rsidRPr="00AD3C0D" w:rsidRDefault="003D0826" w:rsidP="00670D98">
            <w:pPr>
              <w:pStyle w:val="ListParagraph"/>
              <w:ind w:left="67"/>
              <w:jc w:val="both"/>
              <w:rPr>
                <w:rFonts w:ascii="Arial" w:hAnsi="Arial" w:cs="Arial"/>
                <w:color w:val="000000" w:themeColor="text1"/>
              </w:rPr>
            </w:pPr>
          </w:p>
        </w:tc>
      </w:tr>
      <w:tr w:rsidR="00EE7ABC" w:rsidRPr="002B03E1" w:rsidTr="00BB7256">
        <w:trPr>
          <w:trHeight w:val="980"/>
        </w:trPr>
        <w:tc>
          <w:tcPr>
            <w:tcW w:w="2610" w:type="dxa"/>
            <w:vAlign w:val="center"/>
          </w:tcPr>
          <w:p w:rsidR="00EE7ABC" w:rsidRPr="002B03E1" w:rsidRDefault="00EE7ABC" w:rsidP="00BB7256">
            <w:pPr>
              <w:rPr>
                <w:rFonts w:ascii="Arial" w:hAnsi="Arial" w:cs="Arial"/>
                <w:b/>
              </w:rPr>
            </w:pPr>
            <w:r>
              <w:rPr>
                <w:rFonts w:ascii="Arial" w:hAnsi="Arial" w:cs="Arial"/>
                <w:b/>
              </w:rPr>
              <w:t>OUTPUT</w:t>
            </w:r>
          </w:p>
        </w:tc>
        <w:tc>
          <w:tcPr>
            <w:tcW w:w="275" w:type="dxa"/>
            <w:vAlign w:val="center"/>
          </w:tcPr>
          <w:p w:rsidR="00EE7ABC" w:rsidRPr="002B03E1" w:rsidRDefault="00EE7ABC" w:rsidP="00BB7256">
            <w:pPr>
              <w:rPr>
                <w:rFonts w:ascii="Arial" w:hAnsi="Arial" w:cs="Arial"/>
              </w:rPr>
            </w:pPr>
          </w:p>
        </w:tc>
        <w:tc>
          <w:tcPr>
            <w:tcW w:w="7330" w:type="dxa"/>
            <w:vAlign w:val="center"/>
          </w:tcPr>
          <w:p w:rsidR="00EE7ABC" w:rsidRPr="008E261A" w:rsidRDefault="00EE7ABC" w:rsidP="00EE7ABC">
            <w:pPr>
              <w:jc w:val="both"/>
              <w:rPr>
                <w:rFonts w:ascii="Arial" w:hAnsi="Arial" w:cs="Arial"/>
                <w:b/>
              </w:rPr>
            </w:pPr>
            <w:r w:rsidRPr="008E261A">
              <w:rPr>
                <w:rFonts w:ascii="Arial" w:hAnsi="Arial" w:cs="Arial"/>
                <w:b/>
              </w:rPr>
              <w:t>Policy paper</w:t>
            </w:r>
          </w:p>
        </w:tc>
      </w:tr>
      <w:tr w:rsidR="003D0826" w:rsidRPr="002B03E1" w:rsidTr="00BB7256">
        <w:trPr>
          <w:trHeight w:val="845"/>
        </w:trPr>
        <w:tc>
          <w:tcPr>
            <w:tcW w:w="2610" w:type="dxa"/>
            <w:vAlign w:val="center"/>
          </w:tcPr>
          <w:p w:rsidR="003D0826" w:rsidRPr="002B03E1" w:rsidRDefault="003D0826" w:rsidP="00BB7256">
            <w:pPr>
              <w:rPr>
                <w:rFonts w:ascii="Arial" w:hAnsi="Arial" w:cs="Arial"/>
                <w:b/>
              </w:rPr>
            </w:pPr>
            <w:r w:rsidRPr="002B03E1">
              <w:rPr>
                <w:rFonts w:ascii="Arial" w:hAnsi="Arial" w:cs="Arial"/>
                <w:b/>
              </w:rPr>
              <w:t>DURATION</w:t>
            </w:r>
          </w:p>
        </w:tc>
        <w:tc>
          <w:tcPr>
            <w:tcW w:w="275" w:type="dxa"/>
            <w:shd w:val="clear" w:color="auto" w:fill="auto"/>
            <w:vAlign w:val="center"/>
          </w:tcPr>
          <w:p w:rsidR="003D0826" w:rsidRPr="002B03E1" w:rsidRDefault="003D0826" w:rsidP="00BB7256">
            <w:pPr>
              <w:rPr>
                <w:rFonts w:ascii="Arial" w:hAnsi="Arial" w:cs="Arial"/>
              </w:rPr>
            </w:pPr>
          </w:p>
        </w:tc>
        <w:tc>
          <w:tcPr>
            <w:tcW w:w="7330" w:type="dxa"/>
            <w:shd w:val="clear" w:color="auto" w:fill="auto"/>
            <w:vAlign w:val="center"/>
          </w:tcPr>
          <w:p w:rsidR="00AB0F80" w:rsidRPr="00EE7ABC" w:rsidRDefault="007152F2" w:rsidP="00BB7256">
            <w:pPr>
              <w:rPr>
                <w:rFonts w:ascii="Arial" w:hAnsi="Arial" w:cs="Arial"/>
                <w:b/>
              </w:rPr>
            </w:pPr>
            <w:r w:rsidRPr="00EE7ABC">
              <w:rPr>
                <w:rFonts w:ascii="Arial" w:hAnsi="Arial" w:cs="Arial"/>
                <w:b/>
              </w:rPr>
              <w:t>1 April 2019 – 31 May 2019 (2 months)</w:t>
            </w:r>
          </w:p>
        </w:tc>
      </w:tr>
      <w:tr w:rsidR="003D0826" w:rsidRPr="002B03E1" w:rsidTr="00BB7256">
        <w:trPr>
          <w:trHeight w:val="845"/>
        </w:trPr>
        <w:tc>
          <w:tcPr>
            <w:tcW w:w="2610" w:type="dxa"/>
            <w:vAlign w:val="center"/>
          </w:tcPr>
          <w:p w:rsidR="003D0826" w:rsidRPr="002B03E1" w:rsidRDefault="003D0826" w:rsidP="00BB7256">
            <w:pPr>
              <w:rPr>
                <w:rFonts w:ascii="Arial" w:hAnsi="Arial" w:cs="Arial"/>
                <w:b/>
              </w:rPr>
            </w:pPr>
            <w:r w:rsidRPr="002B03E1">
              <w:rPr>
                <w:rFonts w:ascii="Arial" w:hAnsi="Arial" w:cs="Arial"/>
                <w:b/>
              </w:rPr>
              <w:t>TOTAL COST</w:t>
            </w:r>
          </w:p>
        </w:tc>
        <w:tc>
          <w:tcPr>
            <w:tcW w:w="275" w:type="dxa"/>
            <w:vAlign w:val="center"/>
          </w:tcPr>
          <w:p w:rsidR="003D0826" w:rsidRPr="002B03E1" w:rsidRDefault="003D0826" w:rsidP="00BB7256">
            <w:pPr>
              <w:rPr>
                <w:rFonts w:ascii="Arial" w:hAnsi="Arial" w:cs="Arial"/>
              </w:rPr>
            </w:pPr>
            <w:r w:rsidRPr="002B03E1">
              <w:rPr>
                <w:rFonts w:ascii="Arial" w:hAnsi="Arial" w:cs="Arial"/>
              </w:rPr>
              <w:t>:</w:t>
            </w:r>
          </w:p>
        </w:tc>
        <w:tc>
          <w:tcPr>
            <w:tcW w:w="7330" w:type="dxa"/>
            <w:vAlign w:val="center"/>
          </w:tcPr>
          <w:p w:rsidR="00670D98" w:rsidRPr="00EE7ABC" w:rsidRDefault="007152F2" w:rsidP="00BB7256">
            <w:pPr>
              <w:rPr>
                <w:rFonts w:ascii="Arial" w:hAnsi="Arial" w:cs="Arial"/>
                <w:b/>
              </w:rPr>
            </w:pPr>
            <w:r w:rsidRPr="00EE7ABC">
              <w:rPr>
                <w:rFonts w:ascii="Arial" w:hAnsi="Arial" w:cs="Arial"/>
                <w:b/>
              </w:rPr>
              <w:t xml:space="preserve">RM </w:t>
            </w:r>
            <w:r w:rsidR="00EE7ABC" w:rsidRPr="00EE7ABC">
              <w:rPr>
                <w:rFonts w:ascii="Arial" w:hAnsi="Arial" w:cs="Arial"/>
                <w:b/>
              </w:rPr>
              <w:t>150,000</w:t>
            </w:r>
          </w:p>
          <w:p w:rsidR="00EE7ABC" w:rsidRPr="00EE7ABC" w:rsidRDefault="00EE7ABC" w:rsidP="00BB7256">
            <w:pPr>
              <w:rPr>
                <w:rFonts w:ascii="Arial" w:hAnsi="Arial" w:cs="Arial"/>
              </w:rPr>
            </w:pPr>
          </w:p>
          <w:p w:rsidR="00EE7ABC" w:rsidRPr="00EE7ABC" w:rsidRDefault="00EE7ABC" w:rsidP="00EE7ABC">
            <w:pPr>
              <w:jc w:val="both"/>
              <w:rPr>
                <w:rFonts w:ascii="Arial" w:hAnsi="Arial" w:cs="Arial"/>
                <w:b/>
              </w:rPr>
            </w:pPr>
            <w:r w:rsidRPr="00EE7ABC">
              <w:rPr>
                <w:rFonts w:ascii="Arial" w:hAnsi="Arial" w:cs="Arial"/>
              </w:rPr>
              <w:t xml:space="preserve">(This amount is extracted from the approved allocation in the BOM Paper – The Implementation of Tourism Productivity Nexus Projects for January – June 2019 (H1 2019). The BOM paper approved on </w:t>
            </w:r>
            <w:r w:rsidRPr="00EE7ABC">
              <w:rPr>
                <w:rFonts w:ascii="Arial" w:hAnsi="Arial" w:cs="Arial"/>
                <w:b/>
              </w:rPr>
              <w:t>8 January 2019 (</w:t>
            </w:r>
            <w:proofErr w:type="spellStart"/>
            <w:r w:rsidRPr="00EE7ABC">
              <w:rPr>
                <w:rFonts w:ascii="Arial" w:hAnsi="Arial" w:cs="Arial"/>
                <w:b/>
              </w:rPr>
              <w:t>Bil</w:t>
            </w:r>
            <w:proofErr w:type="spellEnd"/>
            <w:r w:rsidRPr="00EE7ABC">
              <w:rPr>
                <w:rFonts w:ascii="Arial" w:hAnsi="Arial" w:cs="Arial"/>
                <w:b/>
              </w:rPr>
              <w:t xml:space="preserve"> 4/2019)</w:t>
            </w:r>
            <w:r w:rsidRPr="00EE7ABC">
              <w:rPr>
                <w:rFonts w:ascii="Arial" w:hAnsi="Arial" w:cs="Arial"/>
              </w:rPr>
              <w:t xml:space="preserve"> within </w:t>
            </w:r>
            <w:r w:rsidRPr="00EE7ABC">
              <w:rPr>
                <w:rFonts w:ascii="Arial" w:hAnsi="Arial" w:cs="Arial"/>
                <w:b/>
              </w:rPr>
              <w:t>RM 1,562,000.00 total cost under SPN- Tourism)</w:t>
            </w:r>
          </w:p>
          <w:p w:rsidR="00EE7ABC" w:rsidRPr="007152F2" w:rsidRDefault="00EE7ABC" w:rsidP="00BB7256">
            <w:pPr>
              <w:rPr>
                <w:rFonts w:ascii="Arial" w:hAnsi="Arial" w:cs="Arial"/>
              </w:rPr>
            </w:pPr>
          </w:p>
        </w:tc>
      </w:tr>
      <w:tr w:rsidR="003D0826" w:rsidRPr="002B03E1" w:rsidTr="00BB7256">
        <w:trPr>
          <w:trHeight w:val="890"/>
        </w:trPr>
        <w:tc>
          <w:tcPr>
            <w:tcW w:w="2610" w:type="dxa"/>
            <w:vAlign w:val="center"/>
          </w:tcPr>
          <w:p w:rsidR="003D0826" w:rsidRPr="002B03E1" w:rsidRDefault="003D0826" w:rsidP="00BB7256">
            <w:pPr>
              <w:rPr>
                <w:rFonts w:ascii="Arial" w:hAnsi="Arial" w:cs="Arial"/>
                <w:b/>
              </w:rPr>
            </w:pPr>
            <w:r w:rsidRPr="002B03E1">
              <w:rPr>
                <w:rFonts w:ascii="Arial" w:hAnsi="Arial" w:cs="Arial"/>
                <w:b/>
              </w:rPr>
              <w:t>BUDGET</w:t>
            </w:r>
          </w:p>
        </w:tc>
        <w:tc>
          <w:tcPr>
            <w:tcW w:w="275" w:type="dxa"/>
            <w:vAlign w:val="center"/>
          </w:tcPr>
          <w:p w:rsidR="003D0826" w:rsidRPr="002B03E1" w:rsidRDefault="003D0826" w:rsidP="00BB7256">
            <w:pPr>
              <w:rPr>
                <w:rFonts w:ascii="Arial" w:hAnsi="Arial" w:cs="Arial"/>
              </w:rPr>
            </w:pPr>
            <w:r w:rsidRPr="002B03E1">
              <w:rPr>
                <w:rFonts w:ascii="Arial" w:hAnsi="Arial" w:cs="Arial"/>
              </w:rPr>
              <w:t>:</w:t>
            </w:r>
          </w:p>
        </w:tc>
        <w:tc>
          <w:tcPr>
            <w:tcW w:w="7330" w:type="dxa"/>
            <w:vAlign w:val="center"/>
          </w:tcPr>
          <w:p w:rsidR="003D0826" w:rsidRPr="002B03E1" w:rsidRDefault="00EA11D7" w:rsidP="00BB7256">
            <w:pPr>
              <w:rPr>
                <w:rFonts w:ascii="Arial" w:hAnsi="Arial" w:cs="Arial"/>
              </w:rPr>
            </w:pPr>
            <w:r>
              <w:rPr>
                <w:rFonts w:ascii="Arial" w:hAnsi="Arial" w:cs="Arial"/>
              </w:rPr>
              <w:t>SPN - Tourism</w:t>
            </w:r>
          </w:p>
          <w:p w:rsidR="003D0826" w:rsidRPr="002B03E1" w:rsidRDefault="003D0826" w:rsidP="00BB7256">
            <w:pPr>
              <w:autoSpaceDE w:val="0"/>
              <w:autoSpaceDN w:val="0"/>
              <w:adjustRightInd w:val="0"/>
              <w:rPr>
                <w:rFonts w:ascii="Arial" w:hAnsi="Arial" w:cs="Arial"/>
              </w:rPr>
            </w:pPr>
          </w:p>
        </w:tc>
      </w:tr>
      <w:tr w:rsidR="003D0826" w:rsidRPr="002B03E1" w:rsidTr="00BB7256">
        <w:trPr>
          <w:trHeight w:val="1232"/>
        </w:trPr>
        <w:tc>
          <w:tcPr>
            <w:tcW w:w="2610" w:type="dxa"/>
            <w:vAlign w:val="center"/>
          </w:tcPr>
          <w:p w:rsidR="003D0826" w:rsidRPr="002B03E1" w:rsidRDefault="003D0826" w:rsidP="00BB7256">
            <w:pPr>
              <w:rPr>
                <w:rFonts w:ascii="Arial" w:hAnsi="Arial" w:cs="Arial"/>
                <w:b/>
              </w:rPr>
            </w:pPr>
            <w:r w:rsidRPr="002B03E1">
              <w:rPr>
                <w:rFonts w:ascii="Arial" w:hAnsi="Arial" w:cs="Arial"/>
                <w:b/>
              </w:rPr>
              <w:t>RECOMMENDED BY</w:t>
            </w:r>
          </w:p>
        </w:tc>
        <w:tc>
          <w:tcPr>
            <w:tcW w:w="275" w:type="dxa"/>
            <w:vAlign w:val="center"/>
          </w:tcPr>
          <w:p w:rsidR="003D0826" w:rsidRPr="002B03E1" w:rsidRDefault="003D0826" w:rsidP="00BB7256">
            <w:pPr>
              <w:rPr>
                <w:rFonts w:ascii="Arial" w:hAnsi="Arial" w:cs="Arial"/>
              </w:rPr>
            </w:pPr>
            <w:r w:rsidRPr="002B03E1">
              <w:rPr>
                <w:rFonts w:ascii="Arial" w:hAnsi="Arial" w:cs="Arial"/>
              </w:rPr>
              <w:t>:</w:t>
            </w:r>
          </w:p>
        </w:tc>
        <w:tc>
          <w:tcPr>
            <w:tcW w:w="7330" w:type="dxa"/>
            <w:vAlign w:val="center"/>
          </w:tcPr>
          <w:p w:rsidR="003D0826" w:rsidRPr="002B03E1" w:rsidRDefault="00EA11D7" w:rsidP="00BB7256">
            <w:pPr>
              <w:ind w:left="34" w:hanging="84"/>
              <w:rPr>
                <w:rFonts w:ascii="Arial" w:hAnsi="Arial" w:cs="Arial"/>
              </w:rPr>
            </w:pPr>
            <w:r>
              <w:rPr>
                <w:rFonts w:ascii="Arial" w:hAnsi="Arial" w:cs="Arial"/>
              </w:rPr>
              <w:t>Tourism Productivity Nexus – Delivery Management Office (DMO)</w:t>
            </w:r>
            <w:r w:rsidR="003D0826" w:rsidRPr="002B03E1">
              <w:rPr>
                <w:rFonts w:ascii="Arial" w:hAnsi="Arial" w:cs="Arial"/>
              </w:rPr>
              <w:t xml:space="preserve"> </w:t>
            </w:r>
          </w:p>
        </w:tc>
      </w:tr>
      <w:tr w:rsidR="00EE7ABC" w:rsidRPr="002B03E1" w:rsidTr="00BB7256">
        <w:trPr>
          <w:trHeight w:val="1232"/>
        </w:trPr>
        <w:tc>
          <w:tcPr>
            <w:tcW w:w="2610" w:type="dxa"/>
            <w:vAlign w:val="center"/>
          </w:tcPr>
          <w:p w:rsidR="00EE7ABC" w:rsidRPr="00EE7ABC" w:rsidRDefault="00EE7ABC" w:rsidP="00EE7ABC">
            <w:pPr>
              <w:spacing w:line="360" w:lineRule="auto"/>
              <w:rPr>
                <w:rFonts w:ascii="Arial" w:hAnsi="Arial" w:cs="Arial"/>
                <w:b/>
              </w:rPr>
            </w:pPr>
            <w:r w:rsidRPr="00EE7ABC">
              <w:rPr>
                <w:rFonts w:ascii="Arial" w:hAnsi="Arial" w:cs="Arial"/>
                <w:b/>
              </w:rPr>
              <w:t xml:space="preserve">COMMENTS/ </w:t>
            </w:r>
          </w:p>
          <w:p w:rsidR="00EE7ABC" w:rsidRPr="00EE7ABC" w:rsidRDefault="00EE7ABC" w:rsidP="00EE7ABC">
            <w:pPr>
              <w:spacing w:line="360" w:lineRule="auto"/>
              <w:rPr>
                <w:rFonts w:ascii="Arial" w:hAnsi="Arial" w:cs="Arial"/>
                <w:b/>
              </w:rPr>
            </w:pPr>
            <w:r w:rsidRPr="00EE7ABC">
              <w:rPr>
                <w:rFonts w:ascii="Arial" w:hAnsi="Arial" w:cs="Arial"/>
                <w:b/>
              </w:rPr>
              <w:t>SIGNATURE OF ACCOUNTANT</w:t>
            </w:r>
          </w:p>
        </w:tc>
        <w:tc>
          <w:tcPr>
            <w:tcW w:w="275" w:type="dxa"/>
            <w:vAlign w:val="center"/>
          </w:tcPr>
          <w:p w:rsidR="00EE7ABC" w:rsidRPr="002B03E1" w:rsidRDefault="00EE7ABC" w:rsidP="00EE7ABC">
            <w:pPr>
              <w:rPr>
                <w:rFonts w:ascii="Arial" w:hAnsi="Arial" w:cs="Arial"/>
              </w:rPr>
            </w:pPr>
          </w:p>
        </w:tc>
        <w:tc>
          <w:tcPr>
            <w:tcW w:w="7330" w:type="dxa"/>
            <w:vAlign w:val="center"/>
          </w:tcPr>
          <w:p w:rsidR="00EE7ABC" w:rsidRDefault="00EE7ABC" w:rsidP="00EE7ABC">
            <w:pPr>
              <w:ind w:left="34" w:hanging="84"/>
              <w:rPr>
                <w:rFonts w:ascii="Arial" w:hAnsi="Arial" w:cs="Arial"/>
              </w:rPr>
            </w:pPr>
          </w:p>
        </w:tc>
      </w:tr>
      <w:tr w:rsidR="00EE7ABC" w:rsidRPr="002B03E1" w:rsidTr="00BB7256">
        <w:trPr>
          <w:trHeight w:val="1160"/>
        </w:trPr>
        <w:tc>
          <w:tcPr>
            <w:tcW w:w="2610" w:type="dxa"/>
            <w:vAlign w:val="center"/>
          </w:tcPr>
          <w:p w:rsidR="00EE7ABC" w:rsidRPr="00EE7ABC" w:rsidRDefault="00EE7ABC" w:rsidP="00EE7ABC">
            <w:pPr>
              <w:spacing w:line="360" w:lineRule="auto"/>
              <w:rPr>
                <w:rFonts w:ascii="Arial" w:hAnsi="Arial" w:cs="Arial"/>
                <w:b/>
              </w:rPr>
            </w:pPr>
            <w:r w:rsidRPr="00EE7ABC">
              <w:rPr>
                <w:rFonts w:ascii="Arial" w:hAnsi="Arial" w:cs="Arial"/>
                <w:b/>
              </w:rPr>
              <w:t xml:space="preserve">COMMENTS/ </w:t>
            </w:r>
          </w:p>
          <w:p w:rsidR="00EE7ABC" w:rsidRPr="00EE7ABC" w:rsidRDefault="00EE7ABC" w:rsidP="00EE7ABC">
            <w:pPr>
              <w:spacing w:line="360" w:lineRule="auto"/>
              <w:rPr>
                <w:rFonts w:ascii="Arial" w:hAnsi="Arial" w:cs="Arial"/>
                <w:b/>
              </w:rPr>
            </w:pPr>
            <w:r w:rsidRPr="00EE7ABC">
              <w:rPr>
                <w:rFonts w:ascii="Arial" w:hAnsi="Arial" w:cs="Arial"/>
                <w:b/>
              </w:rPr>
              <w:t>SIGNATURE OF PCT MGR</w:t>
            </w:r>
          </w:p>
        </w:tc>
        <w:tc>
          <w:tcPr>
            <w:tcW w:w="275" w:type="dxa"/>
            <w:vAlign w:val="center"/>
          </w:tcPr>
          <w:p w:rsidR="00EE7ABC" w:rsidRPr="002B03E1" w:rsidRDefault="00EE7ABC" w:rsidP="00EE7ABC">
            <w:pPr>
              <w:rPr>
                <w:rFonts w:ascii="Arial" w:hAnsi="Arial" w:cs="Arial"/>
              </w:rPr>
            </w:pPr>
            <w:r w:rsidRPr="002B03E1">
              <w:rPr>
                <w:rFonts w:ascii="Arial" w:hAnsi="Arial" w:cs="Arial"/>
              </w:rPr>
              <w:t>:</w:t>
            </w:r>
          </w:p>
        </w:tc>
        <w:tc>
          <w:tcPr>
            <w:tcW w:w="7330" w:type="dxa"/>
            <w:vAlign w:val="center"/>
          </w:tcPr>
          <w:p w:rsidR="00EE7ABC" w:rsidRPr="002B03E1" w:rsidRDefault="00EE7ABC" w:rsidP="00EE7ABC">
            <w:pPr>
              <w:ind w:left="3060" w:hanging="3060"/>
              <w:rPr>
                <w:rFonts w:ascii="Arial" w:hAnsi="Arial" w:cs="Arial"/>
                <w:color w:val="FF0000"/>
              </w:rPr>
            </w:pPr>
          </w:p>
        </w:tc>
      </w:tr>
    </w:tbl>
    <w:p w:rsidR="00D71984" w:rsidRPr="00E266D6" w:rsidRDefault="00BB7256" w:rsidP="00BB7256">
      <w:pPr>
        <w:jc w:val="center"/>
        <w:rPr>
          <w:rFonts w:ascii="Arial" w:hAnsi="Arial" w:cs="Arial"/>
          <w:b/>
        </w:rPr>
      </w:pPr>
      <w:r w:rsidRPr="00E266D6">
        <w:rPr>
          <w:rFonts w:ascii="Arial" w:hAnsi="Arial" w:cs="Arial"/>
          <w:b/>
        </w:rPr>
        <w:t>EXECUTIVE SUMMARY</w:t>
      </w:r>
    </w:p>
    <w:p w:rsidR="009D567C" w:rsidRDefault="009D567C"/>
    <w:p w:rsidR="009D567C" w:rsidRDefault="009D567C"/>
    <w:p w:rsidR="009D567C" w:rsidRDefault="009D567C"/>
    <w:p w:rsidR="009D567C" w:rsidRDefault="009D567C"/>
    <w:p w:rsidR="009D567C" w:rsidRDefault="009D567C"/>
    <w:p w:rsidR="009D567C" w:rsidRDefault="009D567C"/>
    <w:p w:rsidR="009D567C" w:rsidRDefault="009D567C"/>
    <w:p w:rsidR="009D567C" w:rsidRPr="001478C1" w:rsidRDefault="009D567C" w:rsidP="009D567C">
      <w:pPr>
        <w:jc w:val="center"/>
        <w:rPr>
          <w:rFonts w:ascii="Arial" w:hAnsi="Arial" w:cs="Arial"/>
          <w:b/>
          <w:u w:val="single"/>
        </w:rPr>
      </w:pPr>
      <w:r w:rsidRPr="001478C1">
        <w:rPr>
          <w:rFonts w:ascii="Arial" w:hAnsi="Arial" w:cs="Arial"/>
          <w:b/>
          <w:u w:val="single"/>
        </w:rPr>
        <w:t>MALAYSIA PRODUCTIVITY CORPORATION (MPC)</w:t>
      </w:r>
    </w:p>
    <w:p w:rsidR="009D567C" w:rsidRPr="001478C1" w:rsidRDefault="00BB7256" w:rsidP="009D567C">
      <w:pPr>
        <w:jc w:val="center"/>
        <w:rPr>
          <w:rFonts w:ascii="Arial" w:hAnsi="Arial" w:cs="Arial"/>
          <w:b/>
          <w:u w:val="single"/>
        </w:rPr>
      </w:pPr>
      <w:r w:rsidRPr="001478C1">
        <w:rPr>
          <w:rFonts w:ascii="Arial" w:hAnsi="Arial" w:cs="Arial"/>
          <w:b/>
          <w:u w:val="single"/>
        </w:rPr>
        <w:t>INFORMATION</w:t>
      </w:r>
      <w:r w:rsidR="009D567C" w:rsidRPr="001478C1">
        <w:rPr>
          <w:rFonts w:ascii="Arial" w:hAnsi="Arial" w:cs="Arial"/>
          <w:b/>
          <w:u w:val="single"/>
        </w:rPr>
        <w:t xml:space="preserve"> PAPER FOR BOARD OF MANAGEMENT (BOM)</w:t>
      </w:r>
    </w:p>
    <w:p w:rsidR="009D567C" w:rsidRPr="001478C1" w:rsidRDefault="009D567C" w:rsidP="009D567C">
      <w:pPr>
        <w:jc w:val="center"/>
        <w:rPr>
          <w:rFonts w:ascii="Arial" w:hAnsi="Arial" w:cs="Arial"/>
          <w:b/>
          <w:u w:val="single"/>
        </w:rPr>
      </w:pPr>
    </w:p>
    <w:p w:rsidR="009D567C" w:rsidRPr="002B03E1" w:rsidRDefault="009D567C" w:rsidP="009D567C">
      <w:pPr>
        <w:jc w:val="both"/>
        <w:rPr>
          <w:rFonts w:ascii="Arial" w:hAnsi="Arial" w:cs="Arial"/>
        </w:rPr>
      </w:pPr>
    </w:p>
    <w:p w:rsidR="009D567C" w:rsidRPr="002B03E1" w:rsidRDefault="009D567C" w:rsidP="00A301DD">
      <w:pPr>
        <w:numPr>
          <w:ilvl w:val="0"/>
          <w:numId w:val="2"/>
        </w:numPr>
        <w:spacing w:line="360" w:lineRule="auto"/>
        <w:jc w:val="both"/>
        <w:rPr>
          <w:rFonts w:ascii="Arial" w:hAnsi="Arial" w:cs="Arial"/>
          <w:b/>
        </w:rPr>
      </w:pPr>
      <w:r w:rsidRPr="002B03E1">
        <w:rPr>
          <w:rFonts w:ascii="Arial" w:hAnsi="Arial" w:cs="Arial"/>
          <w:b/>
        </w:rPr>
        <w:t>Purpose</w:t>
      </w:r>
    </w:p>
    <w:p w:rsidR="009D567C" w:rsidRPr="002B03E1" w:rsidRDefault="009D567C" w:rsidP="00A301DD">
      <w:pPr>
        <w:pStyle w:val="Heading2"/>
        <w:spacing w:line="360" w:lineRule="auto"/>
        <w:jc w:val="both"/>
        <w:rPr>
          <w:rFonts w:eastAsia="MS Mincho" w:cs="Arial"/>
          <w:szCs w:val="24"/>
        </w:rPr>
      </w:pPr>
    </w:p>
    <w:p w:rsidR="00DF3DDA" w:rsidRDefault="009D567C" w:rsidP="00A301DD">
      <w:pPr>
        <w:spacing w:line="360" w:lineRule="auto"/>
        <w:jc w:val="both"/>
        <w:rPr>
          <w:rFonts w:ascii="Arial" w:hAnsi="Arial" w:cs="Arial"/>
        </w:rPr>
      </w:pPr>
      <w:r w:rsidRPr="002B03E1">
        <w:rPr>
          <w:rFonts w:ascii="Arial" w:hAnsi="Arial" w:cs="Arial"/>
        </w:rPr>
        <w:t>The pur</w:t>
      </w:r>
      <w:r w:rsidR="00BB7256">
        <w:rPr>
          <w:rFonts w:ascii="Arial" w:hAnsi="Arial" w:cs="Arial"/>
        </w:rPr>
        <w:t xml:space="preserve">pose of this paper is to </w:t>
      </w:r>
      <w:r w:rsidR="00EA11D7">
        <w:rPr>
          <w:rFonts w:ascii="Arial" w:hAnsi="Arial" w:cs="Arial"/>
        </w:rPr>
        <w:t xml:space="preserve">inform the Board of Management on </w:t>
      </w:r>
      <w:r w:rsidR="001A1D18">
        <w:rPr>
          <w:rFonts w:ascii="Arial" w:hAnsi="Arial" w:cs="Arial"/>
        </w:rPr>
        <w:t xml:space="preserve">A </w:t>
      </w:r>
      <w:r w:rsidR="00465057">
        <w:rPr>
          <w:rFonts w:ascii="Arial" w:hAnsi="Arial" w:cs="Arial"/>
        </w:rPr>
        <w:t xml:space="preserve">Case Study on Tourism Transportation and Border Control at </w:t>
      </w:r>
      <w:r w:rsidR="001A1D18">
        <w:rPr>
          <w:rFonts w:ascii="Arial" w:hAnsi="Arial" w:cs="Arial"/>
        </w:rPr>
        <w:t xml:space="preserve">Miri – Brunei and </w:t>
      </w:r>
      <w:r w:rsidR="00465057">
        <w:rPr>
          <w:rFonts w:ascii="Arial" w:hAnsi="Arial" w:cs="Arial"/>
        </w:rPr>
        <w:t>Johor Bharu- Singapore.</w:t>
      </w:r>
    </w:p>
    <w:p w:rsidR="00465057" w:rsidRPr="00B8767C" w:rsidRDefault="00465057" w:rsidP="00A301DD">
      <w:pPr>
        <w:spacing w:line="360" w:lineRule="auto"/>
        <w:jc w:val="both"/>
        <w:rPr>
          <w:rFonts w:ascii="Arial" w:hAnsi="Arial" w:cs="Arial"/>
          <w:color w:val="FF0000"/>
        </w:rPr>
      </w:pPr>
    </w:p>
    <w:p w:rsidR="00DF3DDA" w:rsidRPr="00EF6379" w:rsidRDefault="00DF3DDA" w:rsidP="00A301DD">
      <w:pPr>
        <w:pStyle w:val="ListParagraph"/>
        <w:numPr>
          <w:ilvl w:val="0"/>
          <w:numId w:val="2"/>
        </w:numPr>
        <w:spacing w:line="360" w:lineRule="auto"/>
        <w:jc w:val="both"/>
        <w:rPr>
          <w:rFonts w:ascii="Arial" w:hAnsi="Arial" w:cs="Arial"/>
          <w:b/>
        </w:rPr>
      </w:pPr>
      <w:r w:rsidRPr="00EF6379">
        <w:rPr>
          <w:rFonts w:ascii="Arial" w:hAnsi="Arial" w:cs="Arial"/>
          <w:b/>
        </w:rPr>
        <w:t>Background</w:t>
      </w:r>
    </w:p>
    <w:p w:rsidR="00585477" w:rsidRDefault="00585477" w:rsidP="00A301DD">
      <w:pPr>
        <w:spacing w:line="360" w:lineRule="auto"/>
        <w:rPr>
          <w:rFonts w:ascii="Arial" w:hAnsi="Arial" w:cs="Arial"/>
        </w:rPr>
      </w:pPr>
    </w:p>
    <w:p w:rsidR="007D1FFF" w:rsidRPr="001478C1" w:rsidRDefault="00585477" w:rsidP="007D1FFF">
      <w:pPr>
        <w:pStyle w:val="BodyText"/>
        <w:spacing w:before="154" w:line="360" w:lineRule="auto"/>
        <w:ind w:left="100" w:right="114"/>
        <w:jc w:val="both"/>
      </w:pPr>
      <w:r>
        <w:t>2.1</w:t>
      </w:r>
      <w:r w:rsidR="00733CAC">
        <w:tab/>
      </w:r>
      <w:r w:rsidR="007D1FFF" w:rsidRPr="001478C1">
        <w:rPr>
          <w:spacing w:val="-4"/>
        </w:rPr>
        <w:t xml:space="preserve">Tourism </w:t>
      </w:r>
      <w:r w:rsidR="007D1FFF" w:rsidRPr="001478C1">
        <w:t xml:space="preserve">sector will continue to be in the forefront of Malaysia’s economic development. </w:t>
      </w:r>
      <w:r w:rsidR="007D1FFF" w:rsidRPr="001478C1">
        <w:rPr>
          <w:spacing w:val="-4"/>
        </w:rPr>
        <w:t xml:space="preserve">This </w:t>
      </w:r>
      <w:r w:rsidR="007D1FFF" w:rsidRPr="001478C1">
        <w:t xml:space="preserve">sustainable and high-yield sector will continue to drive Malaysia’s </w:t>
      </w:r>
      <w:r w:rsidR="007D1FFF" w:rsidRPr="001478C1">
        <w:rPr>
          <w:spacing w:val="-3"/>
        </w:rPr>
        <w:t xml:space="preserve">economy, </w:t>
      </w:r>
      <w:r w:rsidR="007D1FFF" w:rsidRPr="001478C1">
        <w:t>providing income, job   opportunities   and   Tourism   Infrastructure   Development.   Malaysian   Inbound Tourism Association</w:t>
      </w:r>
      <w:r w:rsidR="007D1FFF" w:rsidRPr="001478C1">
        <w:rPr>
          <w:spacing w:val="34"/>
        </w:rPr>
        <w:t xml:space="preserve"> </w:t>
      </w:r>
      <w:r w:rsidR="007D1FFF" w:rsidRPr="001478C1">
        <w:rPr>
          <w:spacing w:val="-3"/>
        </w:rPr>
        <w:t>(MITA)</w:t>
      </w:r>
      <w:r w:rsidR="007D1FFF" w:rsidRPr="001478C1">
        <w:rPr>
          <w:spacing w:val="35"/>
        </w:rPr>
        <w:t xml:space="preserve"> </w:t>
      </w:r>
      <w:r w:rsidR="007D1FFF" w:rsidRPr="001478C1">
        <w:t>has</w:t>
      </w:r>
      <w:r w:rsidR="007D1FFF" w:rsidRPr="001478C1">
        <w:rPr>
          <w:spacing w:val="35"/>
        </w:rPr>
        <w:t xml:space="preserve"> </w:t>
      </w:r>
      <w:r w:rsidR="007D1FFF" w:rsidRPr="001478C1">
        <w:t>been</w:t>
      </w:r>
      <w:r w:rsidR="007D1FFF" w:rsidRPr="001478C1">
        <w:rPr>
          <w:spacing w:val="43"/>
        </w:rPr>
        <w:t xml:space="preserve"> </w:t>
      </w:r>
      <w:r w:rsidR="007D1FFF" w:rsidRPr="001478C1">
        <w:t>part</w:t>
      </w:r>
      <w:r w:rsidR="007D1FFF" w:rsidRPr="001478C1">
        <w:rPr>
          <w:spacing w:val="35"/>
        </w:rPr>
        <w:t xml:space="preserve"> </w:t>
      </w:r>
      <w:r w:rsidR="007D1FFF" w:rsidRPr="001478C1">
        <w:t>of</w:t>
      </w:r>
      <w:r w:rsidR="007D1FFF" w:rsidRPr="001478C1">
        <w:rPr>
          <w:spacing w:val="35"/>
        </w:rPr>
        <w:t xml:space="preserve"> </w:t>
      </w:r>
      <w:r w:rsidR="007D1FFF" w:rsidRPr="001478C1">
        <w:t>Malaysia’s</w:t>
      </w:r>
      <w:r w:rsidR="007D1FFF" w:rsidRPr="001478C1">
        <w:rPr>
          <w:spacing w:val="35"/>
        </w:rPr>
        <w:t xml:space="preserve"> </w:t>
      </w:r>
      <w:r w:rsidR="007D1FFF" w:rsidRPr="001478C1">
        <w:t>Inbound</w:t>
      </w:r>
      <w:r w:rsidR="007D1FFF" w:rsidRPr="001478C1">
        <w:rPr>
          <w:spacing w:val="31"/>
        </w:rPr>
        <w:t xml:space="preserve"> </w:t>
      </w:r>
      <w:r w:rsidR="007D1FFF" w:rsidRPr="001478C1">
        <w:rPr>
          <w:spacing w:val="-4"/>
        </w:rPr>
        <w:t>Tourism</w:t>
      </w:r>
      <w:r w:rsidR="007D1FFF" w:rsidRPr="001478C1">
        <w:rPr>
          <w:spacing w:val="35"/>
        </w:rPr>
        <w:t xml:space="preserve"> </w:t>
      </w:r>
      <w:r w:rsidR="007D1FFF" w:rsidRPr="001478C1">
        <w:t>business</w:t>
      </w:r>
      <w:r w:rsidR="007D1FFF" w:rsidRPr="001478C1">
        <w:rPr>
          <w:spacing w:val="35"/>
        </w:rPr>
        <w:t xml:space="preserve"> </w:t>
      </w:r>
      <w:r w:rsidR="007D1FFF" w:rsidRPr="001478C1">
        <w:t>booster</w:t>
      </w:r>
      <w:r w:rsidR="007D1FFF" w:rsidRPr="001478C1">
        <w:rPr>
          <w:spacing w:val="35"/>
        </w:rPr>
        <w:t xml:space="preserve"> </w:t>
      </w:r>
      <w:r w:rsidR="007D1FFF" w:rsidRPr="001478C1">
        <w:t>in line</w:t>
      </w:r>
      <w:r w:rsidR="007D1FFF" w:rsidRPr="001478C1">
        <w:rPr>
          <w:spacing w:val="35"/>
        </w:rPr>
        <w:t xml:space="preserve"> </w:t>
      </w:r>
      <w:r w:rsidR="007D1FFF" w:rsidRPr="001478C1">
        <w:t xml:space="preserve">with Malaysia </w:t>
      </w:r>
      <w:r w:rsidR="007D1FFF" w:rsidRPr="001478C1">
        <w:rPr>
          <w:spacing w:val="-4"/>
        </w:rPr>
        <w:t xml:space="preserve">Tourism </w:t>
      </w:r>
      <w:r w:rsidR="007D1FFF" w:rsidRPr="001478C1">
        <w:t>Transformation Program (MTTP) under National Key Economy Area (NKEA) transmission plan</w:t>
      </w:r>
    </w:p>
    <w:p w:rsidR="007D1FFF" w:rsidRPr="001478C1" w:rsidRDefault="007D1FFF" w:rsidP="007D1FFF">
      <w:pPr>
        <w:pStyle w:val="BodyText"/>
        <w:spacing w:before="7"/>
      </w:pPr>
    </w:p>
    <w:p w:rsidR="007D1FFF" w:rsidRPr="001478C1" w:rsidRDefault="001478C1" w:rsidP="007D1FFF">
      <w:pPr>
        <w:pStyle w:val="BodyText"/>
        <w:spacing w:line="336" w:lineRule="auto"/>
        <w:ind w:left="100" w:right="114"/>
        <w:jc w:val="both"/>
      </w:pPr>
      <w:r w:rsidRPr="001478C1">
        <w:t>2.2</w:t>
      </w:r>
      <w:r w:rsidRPr="001478C1">
        <w:tab/>
      </w:r>
      <w:r w:rsidR="007D1FFF" w:rsidRPr="001478C1">
        <w:t xml:space="preserve">The government has set the target of 2020:36:168. That is in the year 2020, Malaysia will receive 36 million tourist arrivals and RM168 billion in tourist receipts. One of the common enablers to ensure successful implementation of the </w:t>
      </w:r>
      <w:r w:rsidR="007D1FFF" w:rsidRPr="001478C1">
        <w:rPr>
          <w:spacing w:val="-4"/>
        </w:rPr>
        <w:t xml:space="preserve">Tourism </w:t>
      </w:r>
      <w:r w:rsidR="007D1FFF" w:rsidRPr="001478C1">
        <w:t xml:space="preserve">chapter of the Economy Transformation Program (ETP) is to </w:t>
      </w:r>
      <w:r w:rsidR="001C4E69">
        <w:t xml:space="preserve">ensure the regulation, entry facility, process and procedures to visit Malaysia need to be clear and transparent </w:t>
      </w:r>
      <w:r w:rsidR="006E4AC9">
        <w:t>and one of the major challenges is the inconsistency and inaccuracy of information involving the visa requirements to enter Malaysia.</w:t>
      </w:r>
    </w:p>
    <w:p w:rsidR="007D1FFF" w:rsidRPr="001478C1" w:rsidRDefault="007D1FFF" w:rsidP="007D1FFF">
      <w:pPr>
        <w:pStyle w:val="BodyText"/>
        <w:spacing w:before="3"/>
      </w:pPr>
    </w:p>
    <w:p w:rsidR="007D1FFF" w:rsidRDefault="001478C1" w:rsidP="007D1FFF">
      <w:pPr>
        <w:spacing w:line="336" w:lineRule="auto"/>
        <w:ind w:left="100" w:right="114"/>
        <w:jc w:val="both"/>
      </w:pPr>
      <w:r w:rsidRPr="001478C1">
        <w:rPr>
          <w:rFonts w:ascii="Arial" w:hAnsi="Arial" w:cs="Arial"/>
        </w:rPr>
        <w:t>2.3</w:t>
      </w:r>
      <w:r w:rsidRPr="001478C1">
        <w:rPr>
          <w:rFonts w:ascii="Arial" w:hAnsi="Arial" w:cs="Arial"/>
        </w:rPr>
        <w:tab/>
      </w:r>
      <w:r w:rsidR="006E4AC9">
        <w:rPr>
          <w:rFonts w:ascii="Arial" w:hAnsi="Arial" w:cs="Arial"/>
        </w:rPr>
        <w:t xml:space="preserve">Being the next-door neighbor to Brunei, Miri as a mature tourism destination has the potential to absorb the spillover effect from the increased number of tourists which came to Brunei. However, there are challenges and issues that are preventing the tourists from going over to Miri especially the Chinese tourists, which is the Visa procedures. Meanwhile, the </w:t>
      </w:r>
      <w:r w:rsidR="005A60D1">
        <w:rPr>
          <w:rFonts w:ascii="Arial" w:hAnsi="Arial" w:cs="Arial"/>
        </w:rPr>
        <w:t xml:space="preserve">tourists travel by bus also faced the difficulties the immigration check point from Singapore to Johor Bharu. </w:t>
      </w:r>
    </w:p>
    <w:p w:rsidR="00465057" w:rsidRDefault="00465057">
      <w:pPr>
        <w:spacing w:after="160" w:line="259" w:lineRule="auto"/>
      </w:pPr>
      <w:r>
        <w:br w:type="page"/>
      </w:r>
    </w:p>
    <w:p w:rsidR="00FD696F" w:rsidRDefault="00FD696F" w:rsidP="00D47161">
      <w:pPr>
        <w:pStyle w:val="ListParagraph"/>
        <w:numPr>
          <w:ilvl w:val="0"/>
          <w:numId w:val="2"/>
        </w:numPr>
        <w:spacing w:line="360" w:lineRule="auto"/>
        <w:rPr>
          <w:rFonts w:ascii="Arial" w:hAnsi="Arial" w:cs="Arial"/>
          <w:b/>
        </w:rPr>
      </w:pPr>
      <w:r w:rsidRPr="00FD696F">
        <w:rPr>
          <w:rFonts w:ascii="Arial" w:hAnsi="Arial" w:cs="Arial"/>
          <w:b/>
          <w:bCs/>
        </w:rPr>
        <w:lastRenderedPageBreak/>
        <w:t>O</w:t>
      </w:r>
      <w:r w:rsidRPr="00FD696F">
        <w:rPr>
          <w:rFonts w:ascii="Arial" w:hAnsi="Arial" w:cs="Arial"/>
          <w:b/>
        </w:rPr>
        <w:t>bjectives</w:t>
      </w:r>
    </w:p>
    <w:p w:rsidR="00FD696F" w:rsidRPr="00FD696F" w:rsidRDefault="00FD696F" w:rsidP="00FD696F">
      <w:pPr>
        <w:pStyle w:val="ListParagraph"/>
        <w:numPr>
          <w:ilvl w:val="0"/>
          <w:numId w:val="7"/>
        </w:numPr>
        <w:jc w:val="both"/>
        <w:rPr>
          <w:rFonts w:ascii="Arial" w:hAnsi="Arial" w:cs="Arial"/>
          <w:color w:val="000000" w:themeColor="text1"/>
        </w:rPr>
      </w:pPr>
      <w:r w:rsidRPr="00FD696F">
        <w:rPr>
          <w:rFonts w:ascii="Arial" w:hAnsi="Arial" w:cs="Arial"/>
          <w:color w:val="000000" w:themeColor="text1"/>
        </w:rPr>
        <w:t>To study the barrier effects of borders in relation to the flow of tourists and the development of tourism</w:t>
      </w:r>
    </w:p>
    <w:p w:rsidR="00FD696F" w:rsidRPr="00FD696F" w:rsidRDefault="00FD696F" w:rsidP="00FD696F">
      <w:pPr>
        <w:pStyle w:val="ListParagraph"/>
        <w:numPr>
          <w:ilvl w:val="0"/>
          <w:numId w:val="7"/>
        </w:numPr>
        <w:jc w:val="both"/>
        <w:rPr>
          <w:rFonts w:ascii="Arial" w:hAnsi="Arial" w:cs="Arial"/>
          <w:color w:val="000000" w:themeColor="text1"/>
        </w:rPr>
      </w:pPr>
      <w:r w:rsidRPr="00FD696F">
        <w:rPr>
          <w:rFonts w:ascii="Arial" w:hAnsi="Arial" w:cs="Arial"/>
          <w:color w:val="000000" w:themeColor="text1"/>
        </w:rPr>
        <w:t>To increase the efficiency and effectiveness of cooperative tourism marketing strategies between the two countries (Brunei and Singapore)</w:t>
      </w:r>
    </w:p>
    <w:p w:rsidR="00FD696F" w:rsidRPr="00FD696F" w:rsidRDefault="00FD696F" w:rsidP="00FD696F">
      <w:pPr>
        <w:pStyle w:val="ListParagraph"/>
        <w:numPr>
          <w:ilvl w:val="0"/>
          <w:numId w:val="7"/>
        </w:numPr>
        <w:jc w:val="both"/>
        <w:rPr>
          <w:rFonts w:ascii="Arial" w:hAnsi="Arial" w:cs="Arial"/>
          <w:color w:val="000000" w:themeColor="text1"/>
        </w:rPr>
      </w:pPr>
      <w:r w:rsidRPr="00FD696F">
        <w:rPr>
          <w:rFonts w:ascii="Arial" w:hAnsi="Arial" w:cs="Arial"/>
          <w:color w:val="000000" w:themeColor="text1"/>
        </w:rPr>
        <w:t>To establish a joint cross-border tourism organization in creating more tourist arrival to Malaysia</w:t>
      </w:r>
    </w:p>
    <w:p w:rsidR="00FD696F" w:rsidRPr="00FD696F" w:rsidRDefault="00FD696F" w:rsidP="00FD696F">
      <w:pPr>
        <w:spacing w:line="360" w:lineRule="auto"/>
        <w:rPr>
          <w:rFonts w:ascii="Arial" w:hAnsi="Arial" w:cs="Arial"/>
          <w:b/>
          <w:color w:val="000000" w:themeColor="text1"/>
        </w:rPr>
      </w:pPr>
    </w:p>
    <w:p w:rsidR="000B2F0A" w:rsidRPr="00FD696F" w:rsidRDefault="000B2F0A" w:rsidP="00D47161">
      <w:pPr>
        <w:pStyle w:val="ListParagraph"/>
        <w:numPr>
          <w:ilvl w:val="0"/>
          <w:numId w:val="2"/>
        </w:numPr>
        <w:spacing w:line="360" w:lineRule="auto"/>
        <w:rPr>
          <w:rFonts w:ascii="Arial" w:hAnsi="Arial" w:cs="Arial"/>
          <w:b/>
          <w:color w:val="000000" w:themeColor="text1"/>
        </w:rPr>
      </w:pPr>
      <w:r w:rsidRPr="00FD696F">
        <w:rPr>
          <w:rFonts w:ascii="Arial" w:hAnsi="Arial" w:cs="Arial"/>
          <w:b/>
          <w:color w:val="000000" w:themeColor="text1"/>
        </w:rPr>
        <w:t>Estimated Cost</w:t>
      </w:r>
      <w:r w:rsidR="00B8767C" w:rsidRPr="00FD696F">
        <w:rPr>
          <w:rFonts w:ascii="Arial" w:hAnsi="Arial" w:cs="Arial"/>
          <w:b/>
          <w:color w:val="000000" w:themeColor="text1"/>
        </w:rPr>
        <w:t xml:space="preserve"> </w:t>
      </w:r>
    </w:p>
    <w:tbl>
      <w:tblPr>
        <w:tblStyle w:val="TableGrid"/>
        <w:tblW w:w="8665" w:type="dxa"/>
        <w:tblInd w:w="351" w:type="dxa"/>
        <w:tblLook w:val="04A0" w:firstRow="1" w:lastRow="0" w:firstColumn="1" w:lastColumn="0" w:noHBand="0" w:noVBand="1"/>
      </w:tblPr>
      <w:tblGrid>
        <w:gridCol w:w="604"/>
        <w:gridCol w:w="5917"/>
        <w:gridCol w:w="2144"/>
      </w:tblGrid>
      <w:tr w:rsidR="00004CA4" w:rsidRPr="00D47161" w:rsidTr="00004CA4">
        <w:tc>
          <w:tcPr>
            <w:tcW w:w="604" w:type="dxa"/>
          </w:tcPr>
          <w:p w:rsidR="00004CA4" w:rsidRPr="00D47161" w:rsidRDefault="00004CA4" w:rsidP="007F0481">
            <w:pPr>
              <w:rPr>
                <w:rFonts w:ascii="Arial" w:hAnsi="Arial" w:cs="Arial"/>
                <w:b/>
              </w:rPr>
            </w:pPr>
            <w:r w:rsidRPr="00D47161">
              <w:rPr>
                <w:rFonts w:ascii="Arial" w:hAnsi="Arial" w:cs="Arial"/>
                <w:b/>
              </w:rPr>
              <w:t>No.</w:t>
            </w:r>
          </w:p>
        </w:tc>
        <w:tc>
          <w:tcPr>
            <w:tcW w:w="5917" w:type="dxa"/>
          </w:tcPr>
          <w:p w:rsidR="00004CA4" w:rsidRPr="00D47161" w:rsidRDefault="00004CA4" w:rsidP="007F0481">
            <w:pPr>
              <w:rPr>
                <w:rFonts w:ascii="Arial" w:hAnsi="Arial" w:cs="Arial"/>
                <w:b/>
              </w:rPr>
            </w:pPr>
            <w:r w:rsidRPr="00D47161">
              <w:rPr>
                <w:rFonts w:ascii="Arial" w:hAnsi="Arial" w:cs="Arial"/>
                <w:b/>
              </w:rPr>
              <w:t>Item</w:t>
            </w:r>
          </w:p>
          <w:p w:rsidR="00004CA4" w:rsidRPr="00D47161" w:rsidRDefault="00004CA4" w:rsidP="007F0481">
            <w:pPr>
              <w:rPr>
                <w:rFonts w:ascii="Arial" w:hAnsi="Arial" w:cs="Arial"/>
                <w:b/>
              </w:rPr>
            </w:pPr>
          </w:p>
        </w:tc>
        <w:tc>
          <w:tcPr>
            <w:tcW w:w="2144" w:type="dxa"/>
          </w:tcPr>
          <w:p w:rsidR="00004CA4" w:rsidRPr="00D47161" w:rsidRDefault="00004CA4" w:rsidP="007F0481">
            <w:pPr>
              <w:rPr>
                <w:rFonts w:ascii="Arial" w:hAnsi="Arial" w:cs="Arial"/>
                <w:b/>
              </w:rPr>
            </w:pPr>
            <w:r w:rsidRPr="00D47161">
              <w:rPr>
                <w:rFonts w:ascii="Arial" w:hAnsi="Arial" w:cs="Arial"/>
                <w:b/>
              </w:rPr>
              <w:t>Estimated Cost (RM)</w:t>
            </w:r>
          </w:p>
        </w:tc>
      </w:tr>
      <w:tr w:rsidR="00B8767C" w:rsidRPr="00D47161" w:rsidTr="00004CA4">
        <w:tc>
          <w:tcPr>
            <w:tcW w:w="604" w:type="dxa"/>
          </w:tcPr>
          <w:p w:rsidR="00B8767C" w:rsidRPr="00D47161" w:rsidRDefault="00B8767C" w:rsidP="007F0481">
            <w:pPr>
              <w:rPr>
                <w:rFonts w:ascii="Arial" w:hAnsi="Arial" w:cs="Arial"/>
              </w:rPr>
            </w:pPr>
          </w:p>
        </w:tc>
        <w:tc>
          <w:tcPr>
            <w:tcW w:w="8061" w:type="dxa"/>
            <w:gridSpan w:val="2"/>
          </w:tcPr>
          <w:p w:rsidR="00B8767C" w:rsidRDefault="005A60D1" w:rsidP="00D86A98">
            <w:pPr>
              <w:rPr>
                <w:rFonts w:ascii="Arial" w:hAnsi="Arial" w:cs="Arial"/>
                <w:b/>
              </w:rPr>
            </w:pPr>
            <w:r>
              <w:rPr>
                <w:rFonts w:ascii="Arial" w:hAnsi="Arial" w:cs="Arial"/>
                <w:b/>
              </w:rPr>
              <w:t>Cost for 2 projects:</w:t>
            </w:r>
          </w:p>
          <w:p w:rsidR="005A60D1" w:rsidRDefault="005A60D1" w:rsidP="005A60D1">
            <w:pPr>
              <w:pStyle w:val="ListParagraph"/>
              <w:numPr>
                <w:ilvl w:val="0"/>
                <w:numId w:val="9"/>
              </w:numPr>
              <w:rPr>
                <w:rFonts w:ascii="Arial" w:hAnsi="Arial" w:cs="Arial"/>
                <w:b/>
              </w:rPr>
            </w:pPr>
            <w:r>
              <w:rPr>
                <w:rFonts w:ascii="Arial" w:hAnsi="Arial" w:cs="Arial"/>
                <w:b/>
              </w:rPr>
              <w:t>Miri-Brunei</w:t>
            </w:r>
          </w:p>
          <w:p w:rsidR="005A60D1" w:rsidRPr="005A60D1" w:rsidRDefault="005A60D1" w:rsidP="005A60D1">
            <w:pPr>
              <w:pStyle w:val="ListParagraph"/>
              <w:numPr>
                <w:ilvl w:val="0"/>
                <w:numId w:val="9"/>
              </w:numPr>
              <w:rPr>
                <w:rFonts w:ascii="Arial" w:hAnsi="Arial" w:cs="Arial"/>
                <w:b/>
              </w:rPr>
            </w:pPr>
            <w:r>
              <w:rPr>
                <w:rFonts w:ascii="Arial" w:hAnsi="Arial" w:cs="Arial"/>
                <w:b/>
              </w:rPr>
              <w:t>Johor Bharu-Singapore</w:t>
            </w:r>
          </w:p>
        </w:tc>
      </w:tr>
      <w:tr w:rsidR="005A60D1" w:rsidRPr="00D47161" w:rsidTr="00004CA4">
        <w:tc>
          <w:tcPr>
            <w:tcW w:w="604" w:type="dxa"/>
          </w:tcPr>
          <w:p w:rsidR="005A60D1" w:rsidRPr="00D47161" w:rsidRDefault="005A60D1" w:rsidP="007F0481">
            <w:pPr>
              <w:rPr>
                <w:rFonts w:ascii="Arial" w:hAnsi="Arial" w:cs="Arial"/>
              </w:rPr>
            </w:pPr>
            <w:r w:rsidRPr="00D47161">
              <w:rPr>
                <w:rFonts w:ascii="Arial" w:hAnsi="Arial" w:cs="Arial"/>
              </w:rPr>
              <w:t>1.</w:t>
            </w:r>
          </w:p>
        </w:tc>
        <w:tc>
          <w:tcPr>
            <w:tcW w:w="5917" w:type="dxa"/>
          </w:tcPr>
          <w:p w:rsidR="005A60D1" w:rsidRDefault="005A60D1" w:rsidP="007F0481">
            <w:pPr>
              <w:rPr>
                <w:rFonts w:ascii="Arial" w:hAnsi="Arial" w:cs="Arial"/>
              </w:rPr>
            </w:pPr>
            <w:r>
              <w:rPr>
                <w:rFonts w:ascii="Arial" w:hAnsi="Arial" w:cs="Arial"/>
              </w:rPr>
              <w:t xml:space="preserve">Lab, Workshop, Seminar and </w:t>
            </w:r>
            <w:r w:rsidRPr="00D47161">
              <w:rPr>
                <w:rFonts w:ascii="Arial" w:hAnsi="Arial" w:cs="Arial"/>
              </w:rPr>
              <w:t>Meeting Package</w:t>
            </w:r>
          </w:p>
          <w:p w:rsidR="002D626B" w:rsidRDefault="002D626B" w:rsidP="002D626B">
            <w:pPr>
              <w:pStyle w:val="ListParagraph"/>
              <w:numPr>
                <w:ilvl w:val="0"/>
                <w:numId w:val="12"/>
              </w:numPr>
              <w:rPr>
                <w:rFonts w:ascii="Arial" w:hAnsi="Arial" w:cs="Arial"/>
              </w:rPr>
            </w:pPr>
            <w:r>
              <w:rPr>
                <w:rFonts w:ascii="Arial" w:hAnsi="Arial" w:cs="Arial"/>
              </w:rPr>
              <w:t>Meeting 1/2019 – RM 5,000</w:t>
            </w:r>
          </w:p>
          <w:p w:rsidR="002D626B" w:rsidRDefault="002D626B" w:rsidP="002D626B">
            <w:pPr>
              <w:pStyle w:val="ListParagraph"/>
              <w:numPr>
                <w:ilvl w:val="0"/>
                <w:numId w:val="12"/>
              </w:numPr>
              <w:rPr>
                <w:rFonts w:ascii="Arial" w:hAnsi="Arial" w:cs="Arial"/>
              </w:rPr>
            </w:pPr>
            <w:r>
              <w:rPr>
                <w:rFonts w:ascii="Arial" w:hAnsi="Arial" w:cs="Arial"/>
              </w:rPr>
              <w:t>Meeting 2/2019 – RM 5,000</w:t>
            </w:r>
          </w:p>
          <w:p w:rsidR="002D626B" w:rsidRDefault="002D626B" w:rsidP="002D626B">
            <w:pPr>
              <w:pStyle w:val="ListParagraph"/>
              <w:numPr>
                <w:ilvl w:val="0"/>
                <w:numId w:val="12"/>
              </w:numPr>
              <w:rPr>
                <w:rFonts w:ascii="Arial" w:hAnsi="Arial" w:cs="Arial"/>
              </w:rPr>
            </w:pPr>
            <w:r>
              <w:rPr>
                <w:rFonts w:ascii="Arial" w:hAnsi="Arial" w:cs="Arial"/>
              </w:rPr>
              <w:t>Seminar 1/2019 – RM 10,000</w:t>
            </w:r>
          </w:p>
          <w:p w:rsidR="005A60D1" w:rsidRPr="00D47161" w:rsidRDefault="002D626B" w:rsidP="002D626B">
            <w:pPr>
              <w:pStyle w:val="ListParagraph"/>
              <w:numPr>
                <w:ilvl w:val="0"/>
                <w:numId w:val="12"/>
              </w:numPr>
              <w:rPr>
                <w:rFonts w:ascii="Arial" w:hAnsi="Arial" w:cs="Arial"/>
              </w:rPr>
            </w:pPr>
            <w:r>
              <w:rPr>
                <w:rFonts w:ascii="Arial" w:hAnsi="Arial" w:cs="Arial"/>
              </w:rPr>
              <w:t>Workshop 1, 2019 – RM 20,000</w:t>
            </w:r>
          </w:p>
        </w:tc>
        <w:tc>
          <w:tcPr>
            <w:tcW w:w="2144" w:type="dxa"/>
          </w:tcPr>
          <w:p w:rsidR="005A60D1" w:rsidRPr="00D47161" w:rsidRDefault="005A60D1" w:rsidP="007F0481">
            <w:pPr>
              <w:jc w:val="right"/>
              <w:rPr>
                <w:rFonts w:ascii="Arial" w:hAnsi="Arial" w:cs="Arial"/>
              </w:rPr>
            </w:pPr>
            <w:r>
              <w:rPr>
                <w:rFonts w:ascii="Arial" w:hAnsi="Arial" w:cs="Arial"/>
              </w:rPr>
              <w:t>40,000</w:t>
            </w:r>
          </w:p>
        </w:tc>
      </w:tr>
      <w:tr w:rsidR="005A60D1" w:rsidRPr="00D47161" w:rsidTr="00004CA4">
        <w:tc>
          <w:tcPr>
            <w:tcW w:w="604" w:type="dxa"/>
          </w:tcPr>
          <w:p w:rsidR="005A60D1" w:rsidRPr="00D47161" w:rsidRDefault="005A60D1" w:rsidP="00D86A98">
            <w:pPr>
              <w:rPr>
                <w:rFonts w:ascii="Arial" w:hAnsi="Arial" w:cs="Arial"/>
              </w:rPr>
            </w:pPr>
            <w:r>
              <w:rPr>
                <w:rFonts w:ascii="Arial" w:hAnsi="Arial" w:cs="Arial"/>
              </w:rPr>
              <w:t>2.</w:t>
            </w:r>
          </w:p>
        </w:tc>
        <w:tc>
          <w:tcPr>
            <w:tcW w:w="5917" w:type="dxa"/>
          </w:tcPr>
          <w:p w:rsidR="005A60D1" w:rsidRPr="00D47161" w:rsidRDefault="005A60D1" w:rsidP="00D86A98">
            <w:pPr>
              <w:rPr>
                <w:rFonts w:ascii="Arial" w:hAnsi="Arial" w:cs="Arial"/>
              </w:rPr>
            </w:pPr>
            <w:r>
              <w:rPr>
                <w:rFonts w:ascii="Arial" w:hAnsi="Arial" w:cs="Arial"/>
              </w:rPr>
              <w:t>Transportation for Site Visit</w:t>
            </w:r>
          </w:p>
          <w:p w:rsidR="005A60D1" w:rsidRDefault="002D626B" w:rsidP="002D626B">
            <w:pPr>
              <w:pStyle w:val="ListParagraph"/>
              <w:numPr>
                <w:ilvl w:val="0"/>
                <w:numId w:val="13"/>
              </w:numPr>
              <w:rPr>
                <w:rFonts w:ascii="Arial" w:hAnsi="Arial" w:cs="Arial"/>
              </w:rPr>
            </w:pPr>
            <w:r>
              <w:rPr>
                <w:rFonts w:ascii="Arial" w:hAnsi="Arial" w:cs="Arial"/>
              </w:rPr>
              <w:t>Site Visit 1- RM 10,000</w:t>
            </w:r>
          </w:p>
          <w:p w:rsidR="002D626B" w:rsidRPr="002D626B" w:rsidRDefault="002D626B" w:rsidP="002D626B">
            <w:pPr>
              <w:pStyle w:val="ListParagraph"/>
              <w:numPr>
                <w:ilvl w:val="0"/>
                <w:numId w:val="13"/>
              </w:numPr>
              <w:rPr>
                <w:rFonts w:ascii="Arial" w:hAnsi="Arial" w:cs="Arial"/>
              </w:rPr>
            </w:pPr>
            <w:r>
              <w:rPr>
                <w:rFonts w:ascii="Arial" w:hAnsi="Arial" w:cs="Arial"/>
              </w:rPr>
              <w:t>Site Visit 2 – RM 10,000</w:t>
            </w:r>
          </w:p>
        </w:tc>
        <w:tc>
          <w:tcPr>
            <w:tcW w:w="2144" w:type="dxa"/>
          </w:tcPr>
          <w:p w:rsidR="005A60D1" w:rsidRPr="00D47161" w:rsidRDefault="005A60D1" w:rsidP="00D86A98">
            <w:pPr>
              <w:jc w:val="right"/>
              <w:rPr>
                <w:rFonts w:ascii="Arial" w:hAnsi="Arial" w:cs="Arial"/>
              </w:rPr>
            </w:pPr>
            <w:r>
              <w:rPr>
                <w:rFonts w:ascii="Arial" w:hAnsi="Arial" w:cs="Arial"/>
              </w:rPr>
              <w:t>20,000</w:t>
            </w:r>
          </w:p>
        </w:tc>
      </w:tr>
      <w:tr w:rsidR="00465057" w:rsidRPr="00D47161" w:rsidTr="00004CA4">
        <w:tc>
          <w:tcPr>
            <w:tcW w:w="604" w:type="dxa"/>
          </w:tcPr>
          <w:p w:rsidR="00465057" w:rsidRPr="00D47161" w:rsidRDefault="00465057" w:rsidP="00D86A98">
            <w:pPr>
              <w:rPr>
                <w:rFonts w:ascii="Arial" w:hAnsi="Arial" w:cs="Arial"/>
              </w:rPr>
            </w:pPr>
            <w:r>
              <w:rPr>
                <w:rFonts w:ascii="Arial" w:hAnsi="Arial" w:cs="Arial"/>
              </w:rPr>
              <w:t>3.</w:t>
            </w:r>
          </w:p>
        </w:tc>
        <w:tc>
          <w:tcPr>
            <w:tcW w:w="5917" w:type="dxa"/>
          </w:tcPr>
          <w:p w:rsidR="00465057" w:rsidRDefault="005A60D1" w:rsidP="00D86A98">
            <w:pPr>
              <w:rPr>
                <w:rFonts w:ascii="Arial" w:hAnsi="Arial" w:cs="Arial"/>
              </w:rPr>
            </w:pPr>
            <w:r>
              <w:rPr>
                <w:rFonts w:ascii="Arial" w:hAnsi="Arial" w:cs="Arial"/>
              </w:rPr>
              <w:t>Professional Fees – Trainers, Facilitators and Consultants</w:t>
            </w:r>
          </w:p>
          <w:p w:rsidR="002D626B" w:rsidRDefault="002D626B" w:rsidP="002D626B">
            <w:pPr>
              <w:pStyle w:val="ListParagraph"/>
              <w:numPr>
                <w:ilvl w:val="0"/>
                <w:numId w:val="14"/>
              </w:numPr>
              <w:rPr>
                <w:rFonts w:ascii="Arial" w:hAnsi="Arial" w:cs="Arial"/>
              </w:rPr>
            </w:pPr>
            <w:r>
              <w:rPr>
                <w:rFonts w:ascii="Arial" w:hAnsi="Arial" w:cs="Arial"/>
              </w:rPr>
              <w:t>Trainer 1 – RM 20,000</w:t>
            </w:r>
          </w:p>
          <w:p w:rsidR="005A60D1" w:rsidRPr="005A60D1" w:rsidRDefault="002D626B" w:rsidP="002D626B">
            <w:pPr>
              <w:pStyle w:val="ListParagraph"/>
              <w:numPr>
                <w:ilvl w:val="0"/>
                <w:numId w:val="14"/>
              </w:numPr>
              <w:rPr>
                <w:rFonts w:ascii="Arial" w:hAnsi="Arial" w:cs="Arial"/>
              </w:rPr>
            </w:pPr>
            <w:r>
              <w:rPr>
                <w:rFonts w:ascii="Arial" w:hAnsi="Arial" w:cs="Arial"/>
              </w:rPr>
              <w:t>Consultant 1 – RM 20,000</w:t>
            </w:r>
          </w:p>
        </w:tc>
        <w:tc>
          <w:tcPr>
            <w:tcW w:w="2144" w:type="dxa"/>
          </w:tcPr>
          <w:p w:rsidR="00465057" w:rsidRPr="00D47161" w:rsidRDefault="005A60D1" w:rsidP="00D86A98">
            <w:pPr>
              <w:jc w:val="right"/>
              <w:rPr>
                <w:rFonts w:ascii="Arial" w:hAnsi="Arial" w:cs="Arial"/>
              </w:rPr>
            </w:pPr>
            <w:r>
              <w:rPr>
                <w:rFonts w:ascii="Arial" w:hAnsi="Arial" w:cs="Arial"/>
              </w:rPr>
              <w:t>40,000</w:t>
            </w:r>
          </w:p>
        </w:tc>
      </w:tr>
      <w:tr w:rsidR="005A60D1" w:rsidRPr="00D47161" w:rsidTr="00004CA4">
        <w:tc>
          <w:tcPr>
            <w:tcW w:w="604" w:type="dxa"/>
          </w:tcPr>
          <w:p w:rsidR="005A60D1" w:rsidRPr="005A60D1" w:rsidRDefault="005A60D1" w:rsidP="00D86A98">
            <w:pPr>
              <w:rPr>
                <w:rFonts w:ascii="Arial" w:hAnsi="Arial" w:cs="Arial"/>
              </w:rPr>
            </w:pPr>
            <w:r w:rsidRPr="005A60D1">
              <w:rPr>
                <w:rFonts w:ascii="Arial" w:hAnsi="Arial" w:cs="Arial"/>
              </w:rPr>
              <w:t>4.</w:t>
            </w:r>
          </w:p>
        </w:tc>
        <w:tc>
          <w:tcPr>
            <w:tcW w:w="5917" w:type="dxa"/>
          </w:tcPr>
          <w:p w:rsidR="005A60D1" w:rsidRDefault="005A60D1" w:rsidP="00D86A98">
            <w:pPr>
              <w:rPr>
                <w:rFonts w:ascii="Arial" w:hAnsi="Arial" w:cs="Arial"/>
              </w:rPr>
            </w:pPr>
            <w:r w:rsidRPr="005A60D1">
              <w:rPr>
                <w:rFonts w:ascii="Arial" w:hAnsi="Arial" w:cs="Arial"/>
              </w:rPr>
              <w:t>Administrative Cost, Printing and Media Coverage</w:t>
            </w:r>
          </w:p>
          <w:p w:rsidR="002D626B" w:rsidRDefault="002D626B" w:rsidP="00D86A98">
            <w:pPr>
              <w:rPr>
                <w:rFonts w:ascii="Arial" w:hAnsi="Arial" w:cs="Arial"/>
              </w:rPr>
            </w:pPr>
            <w:r>
              <w:rPr>
                <w:rFonts w:ascii="Arial" w:hAnsi="Arial" w:cs="Arial"/>
              </w:rPr>
              <w:t>Printing – RM 5,000</w:t>
            </w:r>
          </w:p>
          <w:p w:rsidR="002D626B" w:rsidRDefault="002D626B" w:rsidP="00D86A98">
            <w:pPr>
              <w:rPr>
                <w:rFonts w:ascii="Arial" w:hAnsi="Arial" w:cs="Arial"/>
              </w:rPr>
            </w:pPr>
            <w:r>
              <w:rPr>
                <w:rFonts w:ascii="Arial" w:hAnsi="Arial" w:cs="Arial"/>
              </w:rPr>
              <w:t>Certificate – RM 5,000</w:t>
            </w:r>
          </w:p>
          <w:p w:rsidR="002D626B" w:rsidRDefault="002D626B" w:rsidP="00D86A98">
            <w:pPr>
              <w:rPr>
                <w:rFonts w:ascii="Arial" w:hAnsi="Arial" w:cs="Arial"/>
              </w:rPr>
            </w:pPr>
            <w:r>
              <w:rPr>
                <w:rFonts w:ascii="Arial" w:hAnsi="Arial" w:cs="Arial"/>
              </w:rPr>
              <w:t>Media – RM 20,000</w:t>
            </w:r>
          </w:p>
          <w:p w:rsidR="005A60D1" w:rsidRPr="005A60D1" w:rsidRDefault="002D626B" w:rsidP="002D626B">
            <w:pPr>
              <w:rPr>
                <w:rFonts w:ascii="Arial" w:hAnsi="Arial" w:cs="Arial"/>
              </w:rPr>
            </w:pPr>
            <w:r>
              <w:rPr>
                <w:rFonts w:ascii="Arial" w:hAnsi="Arial" w:cs="Arial"/>
              </w:rPr>
              <w:t>Other – RM 20,000</w:t>
            </w:r>
          </w:p>
        </w:tc>
        <w:tc>
          <w:tcPr>
            <w:tcW w:w="2144" w:type="dxa"/>
          </w:tcPr>
          <w:p w:rsidR="005A60D1" w:rsidRPr="005A60D1" w:rsidRDefault="005A60D1" w:rsidP="005A60D1">
            <w:pPr>
              <w:jc w:val="right"/>
              <w:rPr>
                <w:rFonts w:ascii="Arial" w:hAnsi="Arial" w:cs="Arial"/>
              </w:rPr>
            </w:pPr>
            <w:r w:rsidRPr="005A60D1">
              <w:rPr>
                <w:rFonts w:ascii="Arial" w:hAnsi="Arial" w:cs="Arial"/>
              </w:rPr>
              <w:t>50,000</w:t>
            </w:r>
          </w:p>
        </w:tc>
      </w:tr>
      <w:tr w:rsidR="00D86A98" w:rsidRPr="00D47161" w:rsidTr="00004CA4">
        <w:tc>
          <w:tcPr>
            <w:tcW w:w="604" w:type="dxa"/>
          </w:tcPr>
          <w:p w:rsidR="00D86A98" w:rsidRPr="00D47161" w:rsidRDefault="00D86A98" w:rsidP="00D86A98">
            <w:pPr>
              <w:rPr>
                <w:rFonts w:ascii="Arial" w:hAnsi="Arial" w:cs="Arial"/>
              </w:rPr>
            </w:pPr>
          </w:p>
        </w:tc>
        <w:tc>
          <w:tcPr>
            <w:tcW w:w="5917" w:type="dxa"/>
          </w:tcPr>
          <w:p w:rsidR="00D86A98" w:rsidRPr="00D47161" w:rsidRDefault="00D86A98" w:rsidP="00D86A98">
            <w:pPr>
              <w:rPr>
                <w:rFonts w:ascii="Arial" w:hAnsi="Arial" w:cs="Arial"/>
                <w:b/>
              </w:rPr>
            </w:pPr>
            <w:r w:rsidRPr="00D47161">
              <w:rPr>
                <w:rFonts w:ascii="Arial" w:hAnsi="Arial" w:cs="Arial"/>
                <w:b/>
              </w:rPr>
              <w:t>TOTAL</w:t>
            </w:r>
          </w:p>
        </w:tc>
        <w:tc>
          <w:tcPr>
            <w:tcW w:w="2144" w:type="dxa"/>
          </w:tcPr>
          <w:p w:rsidR="00D86A98" w:rsidRPr="00D47161" w:rsidRDefault="005A60D1" w:rsidP="00D86A98">
            <w:pPr>
              <w:jc w:val="right"/>
              <w:rPr>
                <w:rFonts w:ascii="Arial" w:hAnsi="Arial" w:cs="Arial"/>
                <w:b/>
              </w:rPr>
            </w:pPr>
            <w:r>
              <w:rPr>
                <w:rFonts w:ascii="Arial" w:hAnsi="Arial" w:cs="Arial"/>
                <w:b/>
              </w:rPr>
              <w:t>RM 150,000</w:t>
            </w:r>
          </w:p>
        </w:tc>
      </w:tr>
    </w:tbl>
    <w:p w:rsidR="00492A4E" w:rsidRDefault="00492A4E" w:rsidP="00B766D2">
      <w:pPr>
        <w:jc w:val="both"/>
        <w:rPr>
          <w:rFonts w:ascii="Arial" w:hAnsi="Arial" w:cs="Arial"/>
        </w:rPr>
      </w:pPr>
    </w:p>
    <w:p w:rsidR="005A60D1" w:rsidRDefault="005A60D1" w:rsidP="00B766D2">
      <w:pPr>
        <w:jc w:val="both"/>
        <w:rPr>
          <w:rFonts w:ascii="Arial" w:hAnsi="Arial" w:cs="Arial"/>
        </w:rPr>
      </w:pPr>
    </w:p>
    <w:p w:rsidR="00B766D2" w:rsidRPr="00B766D2" w:rsidRDefault="008E261A" w:rsidP="00B766D2">
      <w:pPr>
        <w:jc w:val="both"/>
        <w:rPr>
          <w:rFonts w:ascii="Arial" w:hAnsi="Arial" w:cs="Arial"/>
          <w:b/>
          <w:bCs/>
        </w:rPr>
      </w:pPr>
      <w:r>
        <w:rPr>
          <w:rFonts w:ascii="Arial" w:hAnsi="Arial" w:cs="Arial"/>
          <w:b/>
        </w:rPr>
        <w:t>5</w:t>
      </w:r>
      <w:r w:rsidR="00492A4E" w:rsidRPr="00492A4E">
        <w:rPr>
          <w:rFonts w:ascii="Arial" w:hAnsi="Arial" w:cs="Arial"/>
          <w:b/>
        </w:rPr>
        <w:t>.0</w:t>
      </w:r>
      <w:r w:rsidR="00492A4E" w:rsidRPr="00492A4E">
        <w:rPr>
          <w:rFonts w:ascii="Arial" w:hAnsi="Arial" w:cs="Arial"/>
          <w:b/>
        </w:rPr>
        <w:tab/>
      </w:r>
      <w:r w:rsidR="00B766D2" w:rsidRPr="00492A4E">
        <w:rPr>
          <w:rFonts w:ascii="Arial" w:hAnsi="Arial" w:cs="Arial"/>
          <w:b/>
          <w:bCs/>
        </w:rPr>
        <w:t>Approval from BO</w:t>
      </w:r>
      <w:r w:rsidR="00B766D2" w:rsidRPr="00B766D2">
        <w:rPr>
          <w:rFonts w:ascii="Arial" w:hAnsi="Arial" w:cs="Arial"/>
          <w:b/>
          <w:bCs/>
        </w:rPr>
        <w:t>M</w:t>
      </w:r>
    </w:p>
    <w:p w:rsidR="00B766D2" w:rsidRPr="00FD696F" w:rsidRDefault="005027D8" w:rsidP="00870B3E">
      <w:pPr>
        <w:tabs>
          <w:tab w:val="left" w:pos="1870"/>
        </w:tabs>
        <w:spacing w:line="360" w:lineRule="auto"/>
        <w:jc w:val="both"/>
        <w:rPr>
          <w:rFonts w:ascii="Arial" w:hAnsi="Arial" w:cs="Arial"/>
          <w:b/>
          <w:color w:val="000000" w:themeColor="text1"/>
        </w:rPr>
      </w:pPr>
      <w:r>
        <w:rPr>
          <w:rFonts w:ascii="Arial" w:hAnsi="Arial" w:cs="Arial"/>
        </w:rPr>
        <w:t xml:space="preserve">The consideration and approval of the Board of Management (BOM) for </w:t>
      </w:r>
      <w:r w:rsidR="00D86A98">
        <w:rPr>
          <w:rFonts w:ascii="Arial" w:hAnsi="Arial" w:cs="Arial"/>
        </w:rPr>
        <w:t>Case Study on Tourism Transportation and Border Control</w:t>
      </w:r>
      <w:r>
        <w:rPr>
          <w:rFonts w:ascii="Arial" w:hAnsi="Arial" w:cs="Arial"/>
        </w:rPr>
        <w:t xml:space="preserve"> </w:t>
      </w:r>
      <w:r w:rsidR="00465057">
        <w:rPr>
          <w:rFonts w:ascii="Arial" w:hAnsi="Arial" w:cs="Arial"/>
        </w:rPr>
        <w:t>at</w:t>
      </w:r>
      <w:r w:rsidR="008E261A">
        <w:rPr>
          <w:rFonts w:ascii="Arial" w:hAnsi="Arial" w:cs="Arial"/>
        </w:rPr>
        <w:t xml:space="preserve"> Miri – Brunei and</w:t>
      </w:r>
      <w:r w:rsidR="00465057">
        <w:rPr>
          <w:rFonts w:ascii="Arial" w:hAnsi="Arial" w:cs="Arial"/>
        </w:rPr>
        <w:t xml:space="preserve"> Johor Bharu – Singapore </w:t>
      </w:r>
      <w:r w:rsidR="00B766D2">
        <w:rPr>
          <w:rFonts w:ascii="Arial" w:hAnsi="Arial" w:cs="Arial"/>
        </w:rPr>
        <w:t xml:space="preserve">using the </w:t>
      </w:r>
      <w:r>
        <w:rPr>
          <w:rFonts w:ascii="Arial" w:hAnsi="Arial" w:cs="Arial"/>
        </w:rPr>
        <w:t xml:space="preserve">SPN – Tourism </w:t>
      </w:r>
      <w:r w:rsidR="00B766D2" w:rsidRPr="002B03E1">
        <w:rPr>
          <w:rFonts w:ascii="Arial" w:hAnsi="Arial" w:cs="Arial"/>
        </w:rPr>
        <w:t xml:space="preserve">of </w:t>
      </w:r>
      <w:r w:rsidR="00B766D2" w:rsidRPr="00FD696F">
        <w:rPr>
          <w:rFonts w:ascii="Arial" w:hAnsi="Arial" w:cs="Arial"/>
          <w:b/>
          <w:color w:val="000000" w:themeColor="text1"/>
        </w:rPr>
        <w:t xml:space="preserve">RM </w:t>
      </w:r>
      <w:r w:rsidR="008E261A">
        <w:rPr>
          <w:rFonts w:ascii="Arial" w:hAnsi="Arial" w:cs="Arial"/>
          <w:b/>
          <w:color w:val="000000" w:themeColor="text1"/>
        </w:rPr>
        <w:t>150,000</w:t>
      </w:r>
      <w:r w:rsidR="00A10F5C" w:rsidRPr="00FD696F">
        <w:rPr>
          <w:rFonts w:ascii="Arial" w:hAnsi="Arial" w:cs="Arial"/>
          <w:b/>
          <w:color w:val="000000" w:themeColor="text1"/>
        </w:rPr>
        <w:t>.</w:t>
      </w:r>
    </w:p>
    <w:p w:rsidR="00870B3E" w:rsidRDefault="00870B3E" w:rsidP="00870B3E">
      <w:pPr>
        <w:tabs>
          <w:tab w:val="left" w:pos="1870"/>
        </w:tabs>
        <w:spacing w:line="360" w:lineRule="auto"/>
        <w:jc w:val="both"/>
        <w:rPr>
          <w:rFonts w:ascii="Arial" w:hAnsi="Arial" w:cs="Arial"/>
          <w:b/>
        </w:rPr>
      </w:pPr>
    </w:p>
    <w:p w:rsidR="002D626B" w:rsidRPr="00870B3E" w:rsidRDefault="002D626B" w:rsidP="00870B3E">
      <w:pPr>
        <w:tabs>
          <w:tab w:val="left" w:pos="1870"/>
        </w:tabs>
        <w:spacing w:line="360" w:lineRule="auto"/>
        <w:jc w:val="both"/>
        <w:rPr>
          <w:rFonts w:ascii="Arial" w:hAnsi="Arial" w:cs="Arial"/>
          <w:b/>
        </w:rPr>
      </w:pPr>
    </w:p>
    <w:p w:rsidR="00B766D2" w:rsidRPr="00EA2784" w:rsidRDefault="00E266D6" w:rsidP="00B766D2">
      <w:pPr>
        <w:pStyle w:val="BodyText"/>
        <w:spacing w:line="480" w:lineRule="auto"/>
        <w:jc w:val="left"/>
        <w:rPr>
          <w:bCs/>
          <w:color w:val="000000" w:themeColor="text1"/>
        </w:rPr>
      </w:pPr>
      <w:r>
        <w:rPr>
          <w:bCs/>
          <w:color w:val="000000" w:themeColor="text1"/>
        </w:rPr>
        <w:t>Prepared by</w:t>
      </w:r>
      <w:r w:rsidR="00B766D2">
        <w:rPr>
          <w:bCs/>
          <w:color w:val="000000" w:themeColor="text1"/>
        </w:rPr>
        <w:t>:</w:t>
      </w:r>
      <w:r w:rsidR="00B766D2">
        <w:rPr>
          <w:bCs/>
          <w:color w:val="000000" w:themeColor="text1"/>
        </w:rPr>
        <w:tab/>
      </w:r>
      <w:r w:rsidR="00B766D2">
        <w:rPr>
          <w:bCs/>
          <w:color w:val="000000" w:themeColor="text1"/>
        </w:rPr>
        <w:tab/>
      </w:r>
      <w:r w:rsidR="00B766D2">
        <w:rPr>
          <w:bCs/>
          <w:color w:val="000000" w:themeColor="text1"/>
        </w:rPr>
        <w:tab/>
      </w:r>
      <w:r w:rsidR="00B766D2">
        <w:rPr>
          <w:bCs/>
          <w:color w:val="000000" w:themeColor="text1"/>
        </w:rPr>
        <w:tab/>
      </w:r>
      <w:r>
        <w:rPr>
          <w:bCs/>
          <w:color w:val="000000" w:themeColor="text1"/>
        </w:rPr>
        <w:tab/>
      </w:r>
      <w:r w:rsidR="008E261A">
        <w:rPr>
          <w:bCs/>
          <w:color w:val="000000" w:themeColor="text1"/>
        </w:rPr>
        <w:t>Reviewed</w:t>
      </w:r>
      <w:r>
        <w:rPr>
          <w:bCs/>
          <w:color w:val="000000" w:themeColor="text1"/>
        </w:rPr>
        <w:t xml:space="preserve"> By</w:t>
      </w:r>
      <w:r w:rsidR="00B766D2">
        <w:rPr>
          <w:bCs/>
          <w:color w:val="000000" w:themeColor="text1"/>
        </w:rPr>
        <w:t>:</w:t>
      </w:r>
    </w:p>
    <w:p w:rsidR="00B766D2" w:rsidRPr="00EA2784" w:rsidRDefault="00B766D2" w:rsidP="002D626B">
      <w:pPr>
        <w:pStyle w:val="BodyText"/>
        <w:ind w:firstLine="720"/>
        <w:jc w:val="left"/>
        <w:rPr>
          <w:bCs/>
          <w:color w:val="000000" w:themeColor="text1"/>
        </w:rPr>
      </w:pPr>
      <w:r w:rsidRPr="00EA2784">
        <w:rPr>
          <w:bCs/>
          <w:color w:val="000000" w:themeColor="text1"/>
        </w:rPr>
        <w:tab/>
      </w:r>
      <w:r w:rsidRPr="00EA2784">
        <w:rPr>
          <w:bCs/>
          <w:color w:val="000000" w:themeColor="text1"/>
        </w:rPr>
        <w:tab/>
      </w:r>
      <w:r w:rsidRPr="00EA2784">
        <w:rPr>
          <w:bCs/>
          <w:color w:val="000000" w:themeColor="text1"/>
        </w:rPr>
        <w:tab/>
      </w:r>
      <w:r w:rsidR="00BB7256">
        <w:rPr>
          <w:bCs/>
          <w:color w:val="000000" w:themeColor="text1"/>
        </w:rPr>
        <w:t xml:space="preserve">            </w:t>
      </w:r>
      <w:r w:rsidR="00BB7256">
        <w:rPr>
          <w:bCs/>
          <w:color w:val="000000" w:themeColor="text1"/>
        </w:rPr>
        <w:tab/>
      </w:r>
      <w:r w:rsidR="00BB7256">
        <w:rPr>
          <w:bCs/>
          <w:color w:val="000000" w:themeColor="text1"/>
        </w:rPr>
        <w:tab/>
      </w:r>
      <w:r w:rsidR="00BB7256">
        <w:rPr>
          <w:bCs/>
          <w:color w:val="000000" w:themeColor="text1"/>
        </w:rPr>
        <w:tab/>
      </w:r>
      <w:r w:rsidR="00BB7256">
        <w:rPr>
          <w:bCs/>
          <w:color w:val="000000" w:themeColor="text1"/>
        </w:rPr>
        <w:tab/>
      </w:r>
      <w:r w:rsidR="00BB7256">
        <w:rPr>
          <w:bCs/>
          <w:color w:val="000000" w:themeColor="text1"/>
        </w:rPr>
        <w:tab/>
      </w:r>
      <w:r w:rsidR="00BB7256">
        <w:rPr>
          <w:bCs/>
          <w:color w:val="000000" w:themeColor="text1"/>
        </w:rPr>
        <w:tab/>
      </w:r>
      <w:r>
        <w:rPr>
          <w:bCs/>
          <w:color w:val="000000" w:themeColor="text1"/>
        </w:rPr>
        <w:t xml:space="preserve"> </w:t>
      </w:r>
      <w:r w:rsidRPr="00EA2784">
        <w:rPr>
          <w:b/>
          <w:bCs/>
          <w:color w:val="000000" w:themeColor="text1"/>
        </w:rPr>
        <w:t>(</w:t>
      </w:r>
      <w:r w:rsidR="00160081">
        <w:rPr>
          <w:b/>
          <w:bCs/>
          <w:color w:val="000000" w:themeColor="text1"/>
        </w:rPr>
        <w:t>Nor Surayya Abdul Samad</w:t>
      </w:r>
      <w:r w:rsidRPr="00EA2784">
        <w:rPr>
          <w:b/>
          <w:bCs/>
          <w:color w:val="000000" w:themeColor="text1"/>
          <w:lang w:val="en-GB"/>
        </w:rPr>
        <w:t xml:space="preserve">) </w:t>
      </w:r>
      <w:r w:rsidRPr="00EA2784">
        <w:rPr>
          <w:bCs/>
          <w:color w:val="000000" w:themeColor="text1"/>
        </w:rPr>
        <w:tab/>
      </w:r>
      <w:r w:rsidRPr="00EA2784">
        <w:rPr>
          <w:bCs/>
          <w:color w:val="000000" w:themeColor="text1"/>
        </w:rPr>
        <w:tab/>
      </w:r>
      <w:r w:rsidRPr="00EA2784">
        <w:rPr>
          <w:b/>
          <w:bCs/>
          <w:color w:val="000000" w:themeColor="text1"/>
        </w:rPr>
        <w:t>(</w:t>
      </w:r>
      <w:r w:rsidR="00160081">
        <w:rPr>
          <w:b/>
          <w:bCs/>
          <w:color w:val="000000" w:themeColor="text1"/>
          <w:lang w:val="en-GB"/>
        </w:rPr>
        <w:t xml:space="preserve">Nor </w:t>
      </w:r>
      <w:proofErr w:type="spellStart"/>
      <w:r w:rsidR="00160081">
        <w:rPr>
          <w:b/>
          <w:bCs/>
          <w:color w:val="000000" w:themeColor="text1"/>
          <w:lang w:val="en-GB"/>
        </w:rPr>
        <w:t>Hafizah</w:t>
      </w:r>
      <w:proofErr w:type="spellEnd"/>
      <w:r w:rsidR="00160081">
        <w:rPr>
          <w:b/>
          <w:bCs/>
          <w:color w:val="000000" w:themeColor="text1"/>
          <w:lang w:val="en-GB"/>
        </w:rPr>
        <w:t xml:space="preserve"> </w:t>
      </w:r>
      <w:proofErr w:type="spellStart"/>
      <w:r w:rsidR="00160081">
        <w:rPr>
          <w:b/>
          <w:bCs/>
          <w:color w:val="000000" w:themeColor="text1"/>
          <w:lang w:val="en-GB"/>
        </w:rPr>
        <w:t>Mohd</w:t>
      </w:r>
      <w:proofErr w:type="spellEnd"/>
      <w:r w:rsidR="00160081">
        <w:rPr>
          <w:b/>
          <w:bCs/>
          <w:color w:val="000000" w:themeColor="text1"/>
          <w:lang w:val="en-GB"/>
        </w:rPr>
        <w:t xml:space="preserve"> </w:t>
      </w:r>
      <w:proofErr w:type="spellStart"/>
      <w:r w:rsidR="00160081">
        <w:rPr>
          <w:b/>
          <w:bCs/>
          <w:color w:val="000000" w:themeColor="text1"/>
          <w:lang w:val="en-GB"/>
        </w:rPr>
        <w:t>Arop</w:t>
      </w:r>
      <w:proofErr w:type="spellEnd"/>
      <w:r w:rsidRPr="00EA2784">
        <w:rPr>
          <w:b/>
          <w:bCs/>
          <w:color w:val="000000" w:themeColor="text1"/>
        </w:rPr>
        <w:t>)</w:t>
      </w:r>
    </w:p>
    <w:p w:rsidR="00B766D2" w:rsidRPr="00EA2784" w:rsidRDefault="00160081" w:rsidP="002D626B">
      <w:pPr>
        <w:pStyle w:val="BodyText"/>
        <w:ind w:right="715"/>
        <w:jc w:val="left"/>
        <w:rPr>
          <w:bCs/>
          <w:color w:val="000000" w:themeColor="text1"/>
        </w:rPr>
      </w:pPr>
      <w:r>
        <w:rPr>
          <w:bCs/>
          <w:color w:val="000000" w:themeColor="text1"/>
        </w:rPr>
        <w:t>Manager</w:t>
      </w:r>
      <w:r w:rsidR="00B766D2" w:rsidRPr="00EA2784">
        <w:rPr>
          <w:bCs/>
          <w:color w:val="000000" w:themeColor="text1"/>
        </w:rPr>
        <w:tab/>
      </w:r>
      <w:r w:rsidR="00B766D2" w:rsidRPr="00EA2784">
        <w:rPr>
          <w:bCs/>
          <w:color w:val="000000" w:themeColor="text1"/>
        </w:rPr>
        <w:tab/>
      </w:r>
      <w:r w:rsidR="00B766D2" w:rsidRPr="00EA2784">
        <w:rPr>
          <w:bCs/>
          <w:color w:val="000000" w:themeColor="text1"/>
        </w:rPr>
        <w:tab/>
      </w:r>
      <w:r w:rsidR="00B766D2" w:rsidRPr="00EA2784">
        <w:rPr>
          <w:bCs/>
          <w:color w:val="000000" w:themeColor="text1"/>
        </w:rPr>
        <w:tab/>
      </w:r>
      <w:r>
        <w:rPr>
          <w:bCs/>
          <w:color w:val="000000" w:themeColor="text1"/>
        </w:rPr>
        <w:tab/>
        <w:t>Senior Manager</w:t>
      </w:r>
      <w:r w:rsidR="00B766D2" w:rsidRPr="00EA2784">
        <w:rPr>
          <w:bCs/>
          <w:color w:val="000000" w:themeColor="text1"/>
        </w:rPr>
        <w:t xml:space="preserve"> </w:t>
      </w:r>
    </w:p>
    <w:p w:rsidR="00B766D2" w:rsidRPr="00EA2784" w:rsidRDefault="00160081" w:rsidP="002D626B">
      <w:pPr>
        <w:pStyle w:val="BodyText"/>
        <w:ind w:right="-365"/>
        <w:jc w:val="left"/>
        <w:rPr>
          <w:bCs/>
          <w:color w:val="000000" w:themeColor="text1"/>
        </w:rPr>
      </w:pPr>
      <w:r>
        <w:rPr>
          <w:bCs/>
          <w:color w:val="000000" w:themeColor="text1"/>
        </w:rPr>
        <w:t>DMO</w:t>
      </w:r>
      <w:r w:rsidR="00B766D2" w:rsidRPr="00EA2784">
        <w:rPr>
          <w:bCs/>
          <w:color w:val="000000" w:themeColor="text1"/>
        </w:rPr>
        <w:tab/>
      </w:r>
      <w:r w:rsidR="00B766D2" w:rsidRPr="00EA2784">
        <w:rPr>
          <w:bCs/>
          <w:color w:val="000000" w:themeColor="text1"/>
        </w:rPr>
        <w:tab/>
      </w:r>
      <w:r w:rsidR="00B766D2" w:rsidRPr="00EA2784">
        <w:rPr>
          <w:bCs/>
          <w:color w:val="000000" w:themeColor="text1"/>
        </w:rPr>
        <w:tab/>
        <w:t xml:space="preserve">         </w:t>
      </w:r>
      <w:r w:rsidR="00B766D2" w:rsidRPr="00EA2784">
        <w:rPr>
          <w:bCs/>
          <w:color w:val="000000" w:themeColor="text1"/>
        </w:rPr>
        <w:tab/>
      </w:r>
      <w:r w:rsidR="00B766D2">
        <w:rPr>
          <w:bCs/>
          <w:color w:val="000000" w:themeColor="text1"/>
        </w:rPr>
        <w:tab/>
      </w:r>
      <w:r w:rsidR="00B766D2">
        <w:rPr>
          <w:bCs/>
          <w:color w:val="000000" w:themeColor="text1"/>
        </w:rPr>
        <w:tab/>
      </w:r>
      <w:r>
        <w:rPr>
          <w:bCs/>
          <w:color w:val="000000" w:themeColor="text1"/>
        </w:rPr>
        <w:t>DMO</w:t>
      </w:r>
      <w:r w:rsidR="00B766D2" w:rsidRPr="00EA2784">
        <w:rPr>
          <w:bCs/>
          <w:color w:val="000000" w:themeColor="text1"/>
        </w:rPr>
        <w:tab/>
      </w:r>
      <w:r w:rsidR="00B766D2" w:rsidRPr="00EA2784">
        <w:rPr>
          <w:bCs/>
          <w:color w:val="000000" w:themeColor="text1"/>
        </w:rPr>
        <w:tab/>
      </w:r>
      <w:r w:rsidR="00B766D2" w:rsidRPr="00EA2784">
        <w:rPr>
          <w:bCs/>
          <w:color w:val="000000" w:themeColor="text1"/>
        </w:rPr>
        <w:tab/>
      </w:r>
      <w:r w:rsidR="00B766D2" w:rsidRPr="00EA2784">
        <w:rPr>
          <w:bCs/>
          <w:color w:val="000000" w:themeColor="text1"/>
        </w:rPr>
        <w:tab/>
      </w:r>
    </w:p>
    <w:p w:rsidR="00B766D2" w:rsidRDefault="00C34947" w:rsidP="002D626B">
      <w:pPr>
        <w:pStyle w:val="BodyText"/>
        <w:jc w:val="left"/>
        <w:rPr>
          <w:bCs/>
          <w:color w:val="000000" w:themeColor="text1"/>
        </w:rPr>
      </w:pPr>
      <w:r>
        <w:rPr>
          <w:bCs/>
          <w:color w:val="000000" w:themeColor="text1"/>
        </w:rPr>
        <w:t>1/4</w:t>
      </w:r>
      <w:r w:rsidR="00160081">
        <w:rPr>
          <w:bCs/>
          <w:color w:val="000000" w:themeColor="text1"/>
        </w:rPr>
        <w:t>/2019</w:t>
      </w:r>
      <w:r w:rsidR="00D42EB2">
        <w:rPr>
          <w:bCs/>
          <w:color w:val="000000" w:themeColor="text1"/>
        </w:rPr>
        <w:tab/>
      </w:r>
      <w:r w:rsidR="00D42EB2">
        <w:rPr>
          <w:bCs/>
          <w:color w:val="000000" w:themeColor="text1"/>
        </w:rPr>
        <w:tab/>
      </w:r>
      <w:r w:rsidR="00D42EB2">
        <w:rPr>
          <w:bCs/>
          <w:color w:val="000000" w:themeColor="text1"/>
        </w:rPr>
        <w:tab/>
      </w:r>
      <w:r w:rsidR="00D42EB2">
        <w:rPr>
          <w:bCs/>
          <w:color w:val="000000" w:themeColor="text1"/>
        </w:rPr>
        <w:tab/>
      </w:r>
      <w:r w:rsidR="00D42EB2">
        <w:rPr>
          <w:bCs/>
          <w:color w:val="000000" w:themeColor="text1"/>
        </w:rPr>
        <w:tab/>
      </w:r>
      <w:r>
        <w:rPr>
          <w:bCs/>
          <w:color w:val="000000" w:themeColor="text1"/>
        </w:rPr>
        <w:t>1/4/2019</w:t>
      </w:r>
    </w:p>
    <w:sectPr w:rsidR="00B766D2" w:rsidSect="00BB7256">
      <w:footerReference w:type="default" r:id="rId8"/>
      <w:pgSz w:w="11906" w:h="16838" w:code="9"/>
      <w:pgMar w:top="99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A52" w:rsidRDefault="008C6A52">
      <w:r>
        <w:separator/>
      </w:r>
    </w:p>
  </w:endnote>
  <w:endnote w:type="continuationSeparator" w:id="0">
    <w:p w:rsidR="008C6A52" w:rsidRDefault="008C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78E" w:rsidRDefault="002F578E">
    <w:pPr>
      <w:pStyle w:val="Footer"/>
      <w:jc w:val="center"/>
    </w:pPr>
    <w:r>
      <w:fldChar w:fldCharType="begin"/>
    </w:r>
    <w:r>
      <w:instrText xml:space="preserve"> PAGE   \* MERGEFORMAT </w:instrText>
    </w:r>
    <w:r>
      <w:fldChar w:fldCharType="separate"/>
    </w:r>
    <w:r w:rsidR="00C4251E">
      <w:rPr>
        <w:noProof/>
      </w:rPr>
      <w:t>3</w:t>
    </w:r>
    <w:r>
      <w:rPr>
        <w:noProof/>
      </w:rPr>
      <w:fldChar w:fldCharType="end"/>
    </w:r>
  </w:p>
  <w:p w:rsidR="002F578E" w:rsidRDefault="002F5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A52" w:rsidRDefault="008C6A52">
      <w:r>
        <w:separator/>
      </w:r>
    </w:p>
  </w:footnote>
  <w:footnote w:type="continuationSeparator" w:id="0">
    <w:p w:rsidR="008C6A52" w:rsidRDefault="008C6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0AC0"/>
    <w:multiLevelType w:val="hybridMultilevel"/>
    <w:tmpl w:val="27A421F2"/>
    <w:lvl w:ilvl="0" w:tplc="4409001B">
      <w:start w:val="1"/>
      <w:numFmt w:val="lowerRoman"/>
      <w:lvlText w:val="%1."/>
      <w:lvlJc w:val="right"/>
      <w:pPr>
        <w:ind w:left="798" w:hanging="360"/>
      </w:pPr>
      <w:rPr>
        <w:rFonts w:hint="default"/>
        <w:color w:val="auto"/>
      </w:rPr>
    </w:lvl>
    <w:lvl w:ilvl="1" w:tplc="44090003" w:tentative="1">
      <w:start w:val="1"/>
      <w:numFmt w:val="bullet"/>
      <w:lvlText w:val="o"/>
      <w:lvlJc w:val="left"/>
      <w:pPr>
        <w:ind w:left="1518" w:hanging="360"/>
      </w:pPr>
      <w:rPr>
        <w:rFonts w:ascii="Courier New" w:hAnsi="Courier New" w:cs="Courier New" w:hint="default"/>
      </w:rPr>
    </w:lvl>
    <w:lvl w:ilvl="2" w:tplc="44090005" w:tentative="1">
      <w:start w:val="1"/>
      <w:numFmt w:val="bullet"/>
      <w:lvlText w:val=""/>
      <w:lvlJc w:val="left"/>
      <w:pPr>
        <w:ind w:left="2238" w:hanging="360"/>
      </w:pPr>
      <w:rPr>
        <w:rFonts w:ascii="Wingdings" w:hAnsi="Wingdings" w:hint="default"/>
      </w:rPr>
    </w:lvl>
    <w:lvl w:ilvl="3" w:tplc="44090001" w:tentative="1">
      <w:start w:val="1"/>
      <w:numFmt w:val="bullet"/>
      <w:lvlText w:val=""/>
      <w:lvlJc w:val="left"/>
      <w:pPr>
        <w:ind w:left="2958" w:hanging="360"/>
      </w:pPr>
      <w:rPr>
        <w:rFonts w:ascii="Symbol" w:hAnsi="Symbol" w:hint="default"/>
      </w:rPr>
    </w:lvl>
    <w:lvl w:ilvl="4" w:tplc="44090003" w:tentative="1">
      <w:start w:val="1"/>
      <w:numFmt w:val="bullet"/>
      <w:lvlText w:val="o"/>
      <w:lvlJc w:val="left"/>
      <w:pPr>
        <w:ind w:left="3678" w:hanging="360"/>
      </w:pPr>
      <w:rPr>
        <w:rFonts w:ascii="Courier New" w:hAnsi="Courier New" w:cs="Courier New" w:hint="default"/>
      </w:rPr>
    </w:lvl>
    <w:lvl w:ilvl="5" w:tplc="44090005" w:tentative="1">
      <w:start w:val="1"/>
      <w:numFmt w:val="bullet"/>
      <w:lvlText w:val=""/>
      <w:lvlJc w:val="left"/>
      <w:pPr>
        <w:ind w:left="4398" w:hanging="360"/>
      </w:pPr>
      <w:rPr>
        <w:rFonts w:ascii="Wingdings" w:hAnsi="Wingdings" w:hint="default"/>
      </w:rPr>
    </w:lvl>
    <w:lvl w:ilvl="6" w:tplc="44090001" w:tentative="1">
      <w:start w:val="1"/>
      <w:numFmt w:val="bullet"/>
      <w:lvlText w:val=""/>
      <w:lvlJc w:val="left"/>
      <w:pPr>
        <w:ind w:left="5118" w:hanging="360"/>
      </w:pPr>
      <w:rPr>
        <w:rFonts w:ascii="Symbol" w:hAnsi="Symbol" w:hint="default"/>
      </w:rPr>
    </w:lvl>
    <w:lvl w:ilvl="7" w:tplc="44090003" w:tentative="1">
      <w:start w:val="1"/>
      <w:numFmt w:val="bullet"/>
      <w:lvlText w:val="o"/>
      <w:lvlJc w:val="left"/>
      <w:pPr>
        <w:ind w:left="5838" w:hanging="360"/>
      </w:pPr>
      <w:rPr>
        <w:rFonts w:ascii="Courier New" w:hAnsi="Courier New" w:cs="Courier New" w:hint="default"/>
      </w:rPr>
    </w:lvl>
    <w:lvl w:ilvl="8" w:tplc="44090005" w:tentative="1">
      <w:start w:val="1"/>
      <w:numFmt w:val="bullet"/>
      <w:lvlText w:val=""/>
      <w:lvlJc w:val="left"/>
      <w:pPr>
        <w:ind w:left="6558" w:hanging="360"/>
      </w:pPr>
      <w:rPr>
        <w:rFonts w:ascii="Wingdings" w:hAnsi="Wingdings" w:hint="default"/>
      </w:rPr>
    </w:lvl>
  </w:abstractNum>
  <w:abstractNum w:abstractNumId="1" w15:restartNumberingAfterBreak="0">
    <w:nsid w:val="079758A4"/>
    <w:multiLevelType w:val="multilevel"/>
    <w:tmpl w:val="F9FCC9D8"/>
    <w:lvl w:ilvl="0">
      <w:start w:val="1"/>
      <w:numFmt w:val="decimal"/>
      <w:lvlText w:val="%1.0"/>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1C4C3B9C"/>
    <w:multiLevelType w:val="hybridMultilevel"/>
    <w:tmpl w:val="10A84B14"/>
    <w:lvl w:ilvl="0" w:tplc="7CFC6B2A">
      <w:start w:val="1"/>
      <w:numFmt w:val="decimal"/>
      <w:lvlText w:val="%1."/>
      <w:lvlJc w:val="left"/>
      <w:pPr>
        <w:ind w:left="798" w:hanging="360"/>
      </w:pPr>
      <w:rPr>
        <w:rFonts w:hint="default"/>
        <w:color w:val="auto"/>
      </w:rPr>
    </w:lvl>
    <w:lvl w:ilvl="1" w:tplc="44090003" w:tentative="1">
      <w:start w:val="1"/>
      <w:numFmt w:val="bullet"/>
      <w:lvlText w:val="o"/>
      <w:lvlJc w:val="left"/>
      <w:pPr>
        <w:ind w:left="1518" w:hanging="360"/>
      </w:pPr>
      <w:rPr>
        <w:rFonts w:ascii="Courier New" w:hAnsi="Courier New" w:cs="Courier New" w:hint="default"/>
      </w:rPr>
    </w:lvl>
    <w:lvl w:ilvl="2" w:tplc="44090005" w:tentative="1">
      <w:start w:val="1"/>
      <w:numFmt w:val="bullet"/>
      <w:lvlText w:val=""/>
      <w:lvlJc w:val="left"/>
      <w:pPr>
        <w:ind w:left="2238" w:hanging="360"/>
      </w:pPr>
      <w:rPr>
        <w:rFonts w:ascii="Wingdings" w:hAnsi="Wingdings" w:hint="default"/>
      </w:rPr>
    </w:lvl>
    <w:lvl w:ilvl="3" w:tplc="44090001" w:tentative="1">
      <w:start w:val="1"/>
      <w:numFmt w:val="bullet"/>
      <w:lvlText w:val=""/>
      <w:lvlJc w:val="left"/>
      <w:pPr>
        <w:ind w:left="2958" w:hanging="360"/>
      </w:pPr>
      <w:rPr>
        <w:rFonts w:ascii="Symbol" w:hAnsi="Symbol" w:hint="default"/>
      </w:rPr>
    </w:lvl>
    <w:lvl w:ilvl="4" w:tplc="44090003" w:tentative="1">
      <w:start w:val="1"/>
      <w:numFmt w:val="bullet"/>
      <w:lvlText w:val="o"/>
      <w:lvlJc w:val="left"/>
      <w:pPr>
        <w:ind w:left="3678" w:hanging="360"/>
      </w:pPr>
      <w:rPr>
        <w:rFonts w:ascii="Courier New" w:hAnsi="Courier New" w:cs="Courier New" w:hint="default"/>
      </w:rPr>
    </w:lvl>
    <w:lvl w:ilvl="5" w:tplc="44090005" w:tentative="1">
      <w:start w:val="1"/>
      <w:numFmt w:val="bullet"/>
      <w:lvlText w:val=""/>
      <w:lvlJc w:val="left"/>
      <w:pPr>
        <w:ind w:left="4398" w:hanging="360"/>
      </w:pPr>
      <w:rPr>
        <w:rFonts w:ascii="Wingdings" w:hAnsi="Wingdings" w:hint="default"/>
      </w:rPr>
    </w:lvl>
    <w:lvl w:ilvl="6" w:tplc="44090001" w:tentative="1">
      <w:start w:val="1"/>
      <w:numFmt w:val="bullet"/>
      <w:lvlText w:val=""/>
      <w:lvlJc w:val="left"/>
      <w:pPr>
        <w:ind w:left="5118" w:hanging="360"/>
      </w:pPr>
      <w:rPr>
        <w:rFonts w:ascii="Symbol" w:hAnsi="Symbol" w:hint="default"/>
      </w:rPr>
    </w:lvl>
    <w:lvl w:ilvl="7" w:tplc="44090003" w:tentative="1">
      <w:start w:val="1"/>
      <w:numFmt w:val="bullet"/>
      <w:lvlText w:val="o"/>
      <w:lvlJc w:val="left"/>
      <w:pPr>
        <w:ind w:left="5838" w:hanging="360"/>
      </w:pPr>
      <w:rPr>
        <w:rFonts w:ascii="Courier New" w:hAnsi="Courier New" w:cs="Courier New" w:hint="default"/>
      </w:rPr>
    </w:lvl>
    <w:lvl w:ilvl="8" w:tplc="44090005" w:tentative="1">
      <w:start w:val="1"/>
      <w:numFmt w:val="bullet"/>
      <w:lvlText w:val=""/>
      <w:lvlJc w:val="left"/>
      <w:pPr>
        <w:ind w:left="6558" w:hanging="360"/>
      </w:pPr>
      <w:rPr>
        <w:rFonts w:ascii="Wingdings" w:hAnsi="Wingdings" w:hint="default"/>
      </w:rPr>
    </w:lvl>
  </w:abstractNum>
  <w:abstractNum w:abstractNumId="3" w15:restartNumberingAfterBreak="0">
    <w:nsid w:val="1D766799"/>
    <w:multiLevelType w:val="hybridMultilevel"/>
    <w:tmpl w:val="EE8E754C"/>
    <w:lvl w:ilvl="0" w:tplc="66E86B8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FCD436C"/>
    <w:multiLevelType w:val="hybridMultilevel"/>
    <w:tmpl w:val="BD7844D6"/>
    <w:lvl w:ilvl="0" w:tplc="A07645E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38E27B0"/>
    <w:multiLevelType w:val="hybridMultilevel"/>
    <w:tmpl w:val="9EF46D4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2447614B"/>
    <w:multiLevelType w:val="hybridMultilevel"/>
    <w:tmpl w:val="89782852"/>
    <w:lvl w:ilvl="0" w:tplc="44090001">
      <w:start w:val="1"/>
      <w:numFmt w:val="bullet"/>
      <w:lvlText w:val=""/>
      <w:lvlJc w:val="left"/>
      <w:pPr>
        <w:ind w:left="787" w:hanging="360"/>
      </w:pPr>
      <w:rPr>
        <w:rFonts w:ascii="Symbol" w:hAnsi="Symbol" w:hint="default"/>
      </w:rPr>
    </w:lvl>
    <w:lvl w:ilvl="1" w:tplc="44090003" w:tentative="1">
      <w:start w:val="1"/>
      <w:numFmt w:val="bullet"/>
      <w:lvlText w:val="o"/>
      <w:lvlJc w:val="left"/>
      <w:pPr>
        <w:ind w:left="1507" w:hanging="360"/>
      </w:pPr>
      <w:rPr>
        <w:rFonts w:ascii="Courier New" w:hAnsi="Courier New" w:cs="Courier New" w:hint="default"/>
      </w:rPr>
    </w:lvl>
    <w:lvl w:ilvl="2" w:tplc="44090005" w:tentative="1">
      <w:start w:val="1"/>
      <w:numFmt w:val="bullet"/>
      <w:lvlText w:val=""/>
      <w:lvlJc w:val="left"/>
      <w:pPr>
        <w:ind w:left="2227" w:hanging="360"/>
      </w:pPr>
      <w:rPr>
        <w:rFonts w:ascii="Wingdings" w:hAnsi="Wingdings" w:hint="default"/>
      </w:rPr>
    </w:lvl>
    <w:lvl w:ilvl="3" w:tplc="44090001" w:tentative="1">
      <w:start w:val="1"/>
      <w:numFmt w:val="bullet"/>
      <w:lvlText w:val=""/>
      <w:lvlJc w:val="left"/>
      <w:pPr>
        <w:ind w:left="2947" w:hanging="360"/>
      </w:pPr>
      <w:rPr>
        <w:rFonts w:ascii="Symbol" w:hAnsi="Symbol" w:hint="default"/>
      </w:rPr>
    </w:lvl>
    <w:lvl w:ilvl="4" w:tplc="44090003" w:tentative="1">
      <w:start w:val="1"/>
      <w:numFmt w:val="bullet"/>
      <w:lvlText w:val="o"/>
      <w:lvlJc w:val="left"/>
      <w:pPr>
        <w:ind w:left="3667" w:hanging="360"/>
      </w:pPr>
      <w:rPr>
        <w:rFonts w:ascii="Courier New" w:hAnsi="Courier New" w:cs="Courier New" w:hint="default"/>
      </w:rPr>
    </w:lvl>
    <w:lvl w:ilvl="5" w:tplc="44090005" w:tentative="1">
      <w:start w:val="1"/>
      <w:numFmt w:val="bullet"/>
      <w:lvlText w:val=""/>
      <w:lvlJc w:val="left"/>
      <w:pPr>
        <w:ind w:left="4387" w:hanging="360"/>
      </w:pPr>
      <w:rPr>
        <w:rFonts w:ascii="Wingdings" w:hAnsi="Wingdings" w:hint="default"/>
      </w:rPr>
    </w:lvl>
    <w:lvl w:ilvl="6" w:tplc="44090001" w:tentative="1">
      <w:start w:val="1"/>
      <w:numFmt w:val="bullet"/>
      <w:lvlText w:val=""/>
      <w:lvlJc w:val="left"/>
      <w:pPr>
        <w:ind w:left="5107" w:hanging="360"/>
      </w:pPr>
      <w:rPr>
        <w:rFonts w:ascii="Symbol" w:hAnsi="Symbol" w:hint="default"/>
      </w:rPr>
    </w:lvl>
    <w:lvl w:ilvl="7" w:tplc="44090003" w:tentative="1">
      <w:start w:val="1"/>
      <w:numFmt w:val="bullet"/>
      <w:lvlText w:val="o"/>
      <w:lvlJc w:val="left"/>
      <w:pPr>
        <w:ind w:left="5827" w:hanging="360"/>
      </w:pPr>
      <w:rPr>
        <w:rFonts w:ascii="Courier New" w:hAnsi="Courier New" w:cs="Courier New" w:hint="default"/>
      </w:rPr>
    </w:lvl>
    <w:lvl w:ilvl="8" w:tplc="44090005" w:tentative="1">
      <w:start w:val="1"/>
      <w:numFmt w:val="bullet"/>
      <w:lvlText w:val=""/>
      <w:lvlJc w:val="left"/>
      <w:pPr>
        <w:ind w:left="6547" w:hanging="360"/>
      </w:pPr>
      <w:rPr>
        <w:rFonts w:ascii="Wingdings" w:hAnsi="Wingdings" w:hint="default"/>
      </w:rPr>
    </w:lvl>
  </w:abstractNum>
  <w:abstractNum w:abstractNumId="7" w15:restartNumberingAfterBreak="0">
    <w:nsid w:val="326A4E20"/>
    <w:multiLevelType w:val="hybridMultilevel"/>
    <w:tmpl w:val="C758F296"/>
    <w:lvl w:ilvl="0" w:tplc="AEFA33D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5B117C6"/>
    <w:multiLevelType w:val="hybridMultilevel"/>
    <w:tmpl w:val="54BADB24"/>
    <w:lvl w:ilvl="0" w:tplc="D624A24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DA226F3"/>
    <w:multiLevelType w:val="hybridMultilevel"/>
    <w:tmpl w:val="BCFA49E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7373E"/>
    <w:multiLevelType w:val="hybridMultilevel"/>
    <w:tmpl w:val="026AF9C6"/>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1" w15:restartNumberingAfterBreak="0">
    <w:nsid w:val="4C17582C"/>
    <w:multiLevelType w:val="hybridMultilevel"/>
    <w:tmpl w:val="DA4EA242"/>
    <w:lvl w:ilvl="0" w:tplc="C0C86CD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D855F54"/>
    <w:multiLevelType w:val="hybridMultilevel"/>
    <w:tmpl w:val="B5BEAA2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AEB65BA"/>
    <w:multiLevelType w:val="hybridMultilevel"/>
    <w:tmpl w:val="222680D8"/>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10"/>
  </w:num>
  <w:num w:numId="6">
    <w:abstractNumId w:val="12"/>
  </w:num>
  <w:num w:numId="7">
    <w:abstractNumId w:val="6"/>
  </w:num>
  <w:num w:numId="8">
    <w:abstractNumId w:val="3"/>
  </w:num>
  <w:num w:numId="9">
    <w:abstractNumId w:val="4"/>
  </w:num>
  <w:num w:numId="10">
    <w:abstractNumId w:val="7"/>
  </w:num>
  <w:num w:numId="11">
    <w:abstractNumId w:val="9"/>
  </w:num>
  <w:num w:numId="12">
    <w:abstractNumId w:val="8"/>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DA"/>
    <w:rsid w:val="00004CA4"/>
    <w:rsid w:val="00010BF0"/>
    <w:rsid w:val="0006694D"/>
    <w:rsid w:val="000B2F0A"/>
    <w:rsid w:val="00142600"/>
    <w:rsid w:val="001478C1"/>
    <w:rsid w:val="00160081"/>
    <w:rsid w:val="0016261B"/>
    <w:rsid w:val="001800E0"/>
    <w:rsid w:val="00186137"/>
    <w:rsid w:val="001A1D18"/>
    <w:rsid w:val="001A722A"/>
    <w:rsid w:val="001B0C51"/>
    <w:rsid w:val="001C4E69"/>
    <w:rsid w:val="002D626B"/>
    <w:rsid w:val="002F578E"/>
    <w:rsid w:val="00334A25"/>
    <w:rsid w:val="003843B6"/>
    <w:rsid w:val="003D0826"/>
    <w:rsid w:val="00460389"/>
    <w:rsid w:val="00465057"/>
    <w:rsid w:val="00492A4E"/>
    <w:rsid w:val="005027D8"/>
    <w:rsid w:val="00504115"/>
    <w:rsid w:val="005806A7"/>
    <w:rsid w:val="00585477"/>
    <w:rsid w:val="005A60D1"/>
    <w:rsid w:val="005B2105"/>
    <w:rsid w:val="005B4405"/>
    <w:rsid w:val="005F2667"/>
    <w:rsid w:val="0063512A"/>
    <w:rsid w:val="00670D98"/>
    <w:rsid w:val="006E3913"/>
    <w:rsid w:val="006E4AC9"/>
    <w:rsid w:val="007152F2"/>
    <w:rsid w:val="00733CAC"/>
    <w:rsid w:val="00781118"/>
    <w:rsid w:val="007D1FFF"/>
    <w:rsid w:val="00870B3E"/>
    <w:rsid w:val="008864F4"/>
    <w:rsid w:val="008A36ED"/>
    <w:rsid w:val="008C6A52"/>
    <w:rsid w:val="008E261A"/>
    <w:rsid w:val="00924F03"/>
    <w:rsid w:val="009441DA"/>
    <w:rsid w:val="00963426"/>
    <w:rsid w:val="00970999"/>
    <w:rsid w:val="00971B1D"/>
    <w:rsid w:val="009D567C"/>
    <w:rsid w:val="00A10F5C"/>
    <w:rsid w:val="00A301DD"/>
    <w:rsid w:val="00A4282D"/>
    <w:rsid w:val="00AB0F80"/>
    <w:rsid w:val="00AD0F45"/>
    <w:rsid w:val="00AD3C0D"/>
    <w:rsid w:val="00B766D2"/>
    <w:rsid w:val="00B8767C"/>
    <w:rsid w:val="00BB7256"/>
    <w:rsid w:val="00BF40B3"/>
    <w:rsid w:val="00C34947"/>
    <w:rsid w:val="00C367C7"/>
    <w:rsid w:val="00C4251E"/>
    <w:rsid w:val="00C5271C"/>
    <w:rsid w:val="00C53BC5"/>
    <w:rsid w:val="00C57392"/>
    <w:rsid w:val="00C70FFC"/>
    <w:rsid w:val="00C8764A"/>
    <w:rsid w:val="00C92106"/>
    <w:rsid w:val="00D16080"/>
    <w:rsid w:val="00D42C01"/>
    <w:rsid w:val="00D42EB2"/>
    <w:rsid w:val="00D47161"/>
    <w:rsid w:val="00D71984"/>
    <w:rsid w:val="00D86A98"/>
    <w:rsid w:val="00DF3DDA"/>
    <w:rsid w:val="00E0495E"/>
    <w:rsid w:val="00E266D6"/>
    <w:rsid w:val="00EA11D7"/>
    <w:rsid w:val="00EA2224"/>
    <w:rsid w:val="00EB74D8"/>
    <w:rsid w:val="00EC6405"/>
    <w:rsid w:val="00EC6D96"/>
    <w:rsid w:val="00EE7ABC"/>
    <w:rsid w:val="00EF6379"/>
    <w:rsid w:val="00FD696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C36E1-2999-416E-B56B-A182FC5A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826"/>
    <w:pPr>
      <w:spacing w:after="0" w:line="240" w:lineRule="auto"/>
    </w:pPr>
    <w:rPr>
      <w:rFonts w:ascii="Times New Roman" w:eastAsia="MS Mincho" w:hAnsi="Times New Roman" w:cs="Times New Roman"/>
      <w:sz w:val="24"/>
      <w:szCs w:val="24"/>
      <w:lang w:val="en-US" w:eastAsia="ja-JP"/>
    </w:rPr>
  </w:style>
  <w:style w:type="paragraph" w:styleId="Heading2">
    <w:name w:val="heading 2"/>
    <w:basedOn w:val="Normal"/>
    <w:next w:val="Normal"/>
    <w:link w:val="Heading2Char"/>
    <w:qFormat/>
    <w:rsid w:val="009D567C"/>
    <w:pPr>
      <w:keepNext/>
      <w:outlineLvl w:val="1"/>
    </w:pPr>
    <w:rPr>
      <w:rFonts w:ascii="Arial" w:eastAsia="Times New Roman"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0826"/>
    <w:pPr>
      <w:ind w:left="720"/>
    </w:pPr>
  </w:style>
  <w:style w:type="character" w:customStyle="1" w:styleId="ListParagraphChar">
    <w:name w:val="List Paragraph Char"/>
    <w:link w:val="ListParagraph"/>
    <w:uiPriority w:val="34"/>
    <w:rsid w:val="003D0826"/>
    <w:rPr>
      <w:rFonts w:ascii="Times New Roman" w:eastAsia="MS Mincho" w:hAnsi="Times New Roman" w:cs="Times New Roman"/>
      <w:sz w:val="24"/>
      <w:szCs w:val="24"/>
      <w:lang w:val="en-US" w:eastAsia="ja-JP"/>
    </w:rPr>
  </w:style>
  <w:style w:type="character" w:customStyle="1" w:styleId="Heading2Char">
    <w:name w:val="Heading 2 Char"/>
    <w:basedOn w:val="DefaultParagraphFont"/>
    <w:link w:val="Heading2"/>
    <w:rsid w:val="009D567C"/>
    <w:rPr>
      <w:rFonts w:ascii="Arial" w:eastAsia="Times New Roman" w:hAnsi="Arial" w:cs="Times New Roman"/>
      <w:sz w:val="24"/>
      <w:szCs w:val="20"/>
      <w:lang w:val="en-US"/>
    </w:rPr>
  </w:style>
  <w:style w:type="paragraph" w:styleId="BodyText">
    <w:name w:val="Body Text"/>
    <w:basedOn w:val="Normal"/>
    <w:link w:val="BodyTextChar"/>
    <w:rsid w:val="006E3913"/>
    <w:pPr>
      <w:jc w:val="center"/>
    </w:pPr>
    <w:rPr>
      <w:rFonts w:ascii="Arial" w:eastAsia="Times New Roman" w:hAnsi="Arial" w:cs="Arial"/>
      <w:lang w:eastAsia="en-US"/>
    </w:rPr>
  </w:style>
  <w:style w:type="character" w:customStyle="1" w:styleId="BodyTextChar">
    <w:name w:val="Body Text Char"/>
    <w:basedOn w:val="DefaultParagraphFont"/>
    <w:link w:val="BodyText"/>
    <w:rsid w:val="006E3913"/>
    <w:rPr>
      <w:rFonts w:ascii="Arial" w:eastAsia="Times New Roman" w:hAnsi="Arial" w:cs="Arial"/>
      <w:sz w:val="24"/>
      <w:szCs w:val="24"/>
      <w:lang w:val="en-US"/>
    </w:rPr>
  </w:style>
  <w:style w:type="paragraph" w:styleId="Footer">
    <w:name w:val="footer"/>
    <w:basedOn w:val="Normal"/>
    <w:link w:val="FooterChar"/>
    <w:uiPriority w:val="99"/>
    <w:rsid w:val="001800E0"/>
    <w:pPr>
      <w:tabs>
        <w:tab w:val="center" w:pos="4513"/>
        <w:tab w:val="right" w:pos="9026"/>
      </w:tabs>
    </w:pPr>
  </w:style>
  <w:style w:type="character" w:customStyle="1" w:styleId="FooterChar">
    <w:name w:val="Footer Char"/>
    <w:basedOn w:val="DefaultParagraphFont"/>
    <w:link w:val="Footer"/>
    <w:uiPriority w:val="99"/>
    <w:rsid w:val="001800E0"/>
    <w:rPr>
      <w:rFonts w:ascii="Times New Roman" w:eastAsia="MS Mincho" w:hAnsi="Times New Roman" w:cs="Times New Roman"/>
      <w:sz w:val="24"/>
      <w:szCs w:val="24"/>
      <w:lang w:val="en-US" w:eastAsia="ja-JP"/>
    </w:rPr>
  </w:style>
  <w:style w:type="paragraph" w:styleId="BalloonText">
    <w:name w:val="Balloon Text"/>
    <w:basedOn w:val="Normal"/>
    <w:link w:val="BalloonTextChar"/>
    <w:uiPriority w:val="99"/>
    <w:semiHidden/>
    <w:unhideWhenUsed/>
    <w:rsid w:val="00EB7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D8"/>
    <w:rPr>
      <w:rFonts w:ascii="Segoe UI" w:eastAsia="MS Mincho" w:hAnsi="Segoe UI" w:cs="Segoe UI"/>
      <w:sz w:val="18"/>
      <w:szCs w:val="18"/>
      <w:lang w:val="en-US" w:eastAsia="ja-JP"/>
    </w:rPr>
  </w:style>
  <w:style w:type="table" w:styleId="TableGrid">
    <w:name w:val="Table Grid"/>
    <w:basedOn w:val="TableNormal"/>
    <w:uiPriority w:val="39"/>
    <w:rsid w:val="000B2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650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0F9E-488F-4848-931E-AC0143F5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Fathi Md Taib</dc:creator>
  <cp:keywords/>
  <dc:description/>
  <cp:lastModifiedBy>Nik Nazarina Nek Mohamed</cp:lastModifiedBy>
  <cp:revision>2</cp:revision>
  <cp:lastPrinted>2019-04-01T00:29:00Z</cp:lastPrinted>
  <dcterms:created xsi:type="dcterms:W3CDTF">2019-04-16T08:40:00Z</dcterms:created>
  <dcterms:modified xsi:type="dcterms:W3CDTF">2019-04-16T08:40:00Z</dcterms:modified>
</cp:coreProperties>
</file>